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</w:t>
        <w:br/>
        <w:t xml:space="preserve"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Ставропольской городской Думы </w:t>
        <w:br/>
        <w:t xml:space="preserve">от 25 июля 2018 г. № 251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consultantplus://offline/ref=91CA5A7535027104E8BE03F7652727A464450BA290981BAA940F2D923FC8461A5092663DECEBC0372E1B041A02099AB5DAC328D156AA3F5E53710E94h9E5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11.01.2023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</w:t>
      </w:r>
      <w:r/>
    </w:p>
    <w:p>
      <w:pPr>
        <w:pStyle w:val="9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прилагаемый административный </w:t>
      </w:r>
      <w:hyperlink w:tooltip="#P45" w:anchor="P4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утратившими силу: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31.03.2020 № 455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постановление администрации города Ставрополя от 28.04.2021 № 902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ержденный постановлением администрации города Ставрополя </w:t>
        <w:br/>
        <w:t xml:space="preserve">от 31.03.2020 № 455»;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постановление администрации города Ставрополя от 22.11.2021 № 2642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ержденный постановлением администрации города Ставрополя </w:t>
        <w:br/>
        <w:t xml:space="preserve">от 31.03.2020 № 455».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Грибенника А.Д.</w:t>
      </w:r>
      <w:r/>
    </w:p>
    <w:p>
      <w:pPr>
        <w:pStyle w:val="9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9"/>
        <w:tabs>
          <w:tab w:val="right" w:pos="9354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И.И. Ульянченко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pStyle w:val="989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5245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</w:t>
      </w:r>
      <w:r/>
    </w:p>
    <w:p>
      <w:pPr>
        <w:pStyle w:val="989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/>
    </w:p>
    <w:p>
      <w:pPr>
        <w:pStyle w:val="989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</w:t>
      </w:r>
      <w:r/>
    </w:p>
    <w:p>
      <w:pPr>
        <w:pStyle w:val="989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I. Общие положения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 (далее – услуга).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Круг заявителей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Заявителями являются физические или юридические лица, являющиеся правообладателями земельных участков или объектов капитального строительства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заинтересованные в предоставлении разрешения на условно разрешенный вид использования указанных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земельных участков или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государственных органов и их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льных органов, органов государственных внебюджетных фондов и их территориальных органов, органов местного самоуправления).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От имени заявителей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, заявлением об исправлении допущенных опечаток и (или) ошибок в выданных документах (далее – заявление об исправлении ошибок) вправе обратиться представители заявителей.</w:t>
      </w:r>
      <w:r/>
    </w:p>
    <w:p>
      <w:pPr>
        <w:pStyle w:val="100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правообладателями земельных участков или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являются несколько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физических или юридических лиц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указанные лица обращаются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заявлением, заявлением об исправлении  ошибок.</w:t>
      </w:r>
      <w:r/>
    </w:p>
    <w:p>
      <w:pPr>
        <w:pStyle w:val="98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услуги в соответствии с вариантом предоставления услуги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Услуга предоставляется в соответствии с одним из вариантов предоставления услуги, указанных в пун</w:t>
      </w:r>
      <w:r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 xml:space="preserve">39 Административного регламента,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результатом, за предоставлением которого обратился заявитель.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услуги</w:t>
      </w:r>
      <w:r/>
    </w:p>
    <w:p>
      <w:pPr>
        <w:pStyle w:val="98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</w:t>
      </w:r>
      <w:r/>
    </w:p>
    <w:p>
      <w:pPr>
        <w:pStyle w:val="98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Полное наименование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услугу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Услугу предоставляет администрация города Ставрополя (далее – Администрация).</w:t>
      </w:r>
      <w:r/>
    </w:p>
    <w:p>
      <w:pPr>
        <w:pStyle w:val="989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При предоставлении услуги Администрация осуществляет взаимодействие: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 с комитетом по управлению муниципальным имуществом города Ставрополя (далее – Комитет);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 с государственным казенным учреждением Ставропольского края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центр предоставления государственных и муниципальных услуг в городе Ставрополе» (далее - Центр);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 с филиалом публично-правовой компании «Роскадастр» по Ставропольскому краю (далее – Филиал ППК «Роскадастр» по СК);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4) с Федеральной налоговой службой России (далее - ФНС России);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5) с комитетом градостроительства администрации города Ставрополя;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с комиссией по землепользованию и застройке города Ставрополя (далее - Комиссия).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Возможность принятия Центром решения об отказе в приеме заявления и документов, необходимых для предоставления услуги, не предусмотрена.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услуги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135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10. Результатом предоставления услуги является: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постановление администрации города Ставрополя о предоставлении разрешения на условно разрешенный вид использования земельного участка или объекта капитального строительства;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постановление администрации города Ставрополя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варианта «Исправление допущенных опечаток и (или) ошибок в выданных в результате предоставления услуги документах»: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 предоставлении разрешения на условно разрешенный вид использования земельного участка или объекта капитального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об отказе в исправлении допущенных опечаток и (или) ошибок в выданных документах.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о результате предоставления услуги не предусмотрено.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услуги фиксируется: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личном кабинете заявителя федеральной государственной информационной системы «Единый портал государственных и муниципальных услуг (функций)» www.gosuslugi.ru (далее - Еди</w:t>
      </w:r>
      <w:r>
        <w:rPr>
          <w:rFonts w:ascii="Times New Roman" w:hAnsi="Times New Roman" w:cs="Times New Roman"/>
          <w:sz w:val="28"/>
          <w:szCs w:val="28"/>
        </w:rPr>
        <w:t xml:space="preserve">ный портал), государственной информационной системы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края» www.26gosuslugi.ru (далее - Портал государственных и муниципальных услуг Ставропольского края);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государственной информационной системе «МФЦ»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Результат предоставления услуги может быть получен следующими способами: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форме документа на бумажном носителе в Комитете, Центре – в случае обращения за предоставлением услуги соответственно в Комитет, в Центр;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 </w:t>
      </w:r>
      <w:bookmarkStart w:id="5" w:name="P140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заявителя на Едином портале, Портале государственных и муниципальных услуг Ставропольского края – в случае обращения за предоставлением услуги посредством Единого портала, Портала государственных и муниципальных услуг Ставропольского края.</w:t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14. Срок предоставления услуги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исчисляется со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дня регистрации в Комитете, Центре заявления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заявления об исправлении ошибок и документов, указанных в 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19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 должен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превышать: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шестидесяти календарных дней (далее - дни) за исключением случая, указанного в подпункте «б» подпункта 1 настоящего пункта Административного регламента;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тридцати дней в случае, если запрашиваемый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орядке после проведения общественных обсуждений или публичных слушаний по инициативе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«Исправление допущенных опечаток и (или) ошибок в выданных в результате предоставления услуги документах» 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двадцати дней.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15. 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Срок подготовки уведомления о возврате заявления не должен превышать десяти дней со дня принятия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18 Административного регламента.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услуги</w:t>
      </w:r>
      <w:r/>
    </w:p>
    <w:p>
      <w:pPr>
        <w:pStyle w:val="98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 (далее - перечень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предоставление услуги), информация о порядке досудебного (внесудебного) обжалования решений и действий (бездействия) Администрации, Комитета, Центра, а также их должностных лиц, муниципальных служащих, работников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Администрации, Едином портале, Портале государственных и муниципальных услуг Ставропольского края.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Комитет обеспечивает в установленном порядке размещение и актуализацию сведений, указанных в пункте 16 Административного регламента, в соответствующем разделе Регионального реестра и на официальном сайте Администрации.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Исчерпывающий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  <w:highlight w:val="cy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предоставления услуги</w:t>
      </w:r>
      <w:r/>
    </w:p>
    <w:p>
      <w:pPr>
        <w:pStyle w:val="98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</w:r>
      <w:r>
        <w:rPr>
          <w:rFonts w:ascii="Times New Roman" w:hAnsi="Times New Roman" w:cs="Times New Roman"/>
          <w:sz w:val="20"/>
          <w:szCs w:val="20"/>
          <w:highlight w:val="yellow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/>
      <w:bookmarkStart w:id="6" w:name="P161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18. Исчерпывающий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которые должны быть представлены заявителем самостоятельно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»: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личность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правоустанавливающие документы на земельный участок, в отношении которого запрашивается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разрешение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если право на него не зарегистрировано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Едином государственном реестре недвижимости (далее - ЕГРН)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 правоустанавливающие документы на объект капитального строительства, в отношении которого запрашивается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разрешение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если право на него не зарегистрировано в ЕГРН;</w:t>
      </w:r>
      <w:r>
        <w:rPr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информационные и демонстрационные материалы по вопросу предоставления разрешения на условно разрешенный вид использования земельного участка или объекта капитального строительства, за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исключением слу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чая, если запрашиваемый условно разрешенный вид использования земельного участка или объекта капитального строительства включен в градостроительный регламент по инициативе заявителя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19. Исчерпывающий перечень документов, необходимых для предоставления услуги, которые должны быть представлены </w:t>
        <w:br/>
        <w:t xml:space="preserve">заявителем самостоятельно для варианта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«Исправление допущенных опечаток и (или) ошибок в выданных в результате предоставления услуги документах»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8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исправлении ошибок, заполненное по форме,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риведенной в приложении 2 к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тивному регламенту;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либо личность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обосновывающие доводы о наличии опечаток и (или) ошибок в выданных документах, а также содержащие правильные сведения.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Заявление</w:t>
      </w:r>
      <w:r>
        <w:rPr>
          <w:rFonts w:ascii="Times New Roman" w:hAnsi="Times New Roman" w:cs="Times New Roman"/>
          <w:sz w:val="28"/>
          <w:szCs w:val="28"/>
        </w:rPr>
        <w:t xml:space="preserve">, заявление об исправлении ошибок и документы, указанные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8, 19 Административного регламента, могут быть представлены заявителем или его представителем: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обращении лично в Комитет, Центр - в виде оригиналов на бумажном носителе;</w:t>
      </w:r>
      <w:r/>
    </w:p>
    <w:p>
      <w:pPr>
        <w:pStyle w:val="989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Портала государственных и муниципальных услуг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скан-образов оригиналов документов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форматах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white"/>
        </w:rPr>
        <w:t xml:space="preserve">pdf, jpg, jpeg, png, </w:t>
        <w:br/>
        <w:t xml:space="preserve">bmp, tiff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t xml:space="preserve">, позволяющих однозначно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  <w:lang w:eastAsia="ar-SA"/>
        </w:rPr>
        <w:t xml:space="preserve">истолковать их содержание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  <w:lang w:eastAsia="ar-SA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доверенности, подтверждающей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 При обращении за получением услуги 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 заявление</w:t>
      </w:r>
      <w:r>
        <w:rPr>
          <w:rFonts w:ascii="Times New Roman" w:hAnsi="Times New Roman" w:cs="Times New Roman"/>
          <w:sz w:val="28"/>
          <w:szCs w:val="28"/>
        </w:rPr>
        <w:t xml:space="preserve">, заявление об исправлении ошибок и документы, необходимые для предоставления услуги, подписываются с использованием простой электронной подписи, и (или) усиленной квалифицированной электронной подписи, и (или) усиленной </w:t>
      </w:r>
      <w:r>
        <w:rPr>
          <w:rFonts w:ascii="Times New Roman" w:hAnsi="Times New Roman" w:cs="Times New Roman"/>
          <w:sz w:val="28"/>
          <w:szCs w:val="28"/>
        </w:rPr>
        <w:t xml:space="preserve">неквалифицированной электронной подписи.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Доверенность, подтверждающая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 Сведения, позволяющие идентифицировать заявителя, представителя заявителя, содержатся в документах, предусмотренных подпунктами 2, 3 </w:t>
      </w:r>
      <w:r>
        <w:rPr>
          <w:rFonts w:ascii="Times New Roman" w:hAnsi="Times New Roman" w:cs="Times New Roman"/>
          <w:sz w:val="28"/>
          <w:szCs w:val="28"/>
        </w:rPr>
        <w:t xml:space="preserve">пункта 18 и подпунктами 2, 3 пункта 19 Административного регламента.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24. Исчерпывающий перечень документов,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подлежат представлению в рамках межведомственного инфо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рмационного взаимодействия,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приведен в приложении 5 к Административному регламенту.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соответствии с пунктами 1, 2, 4 и 5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запрещается требовать от заявителя: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представления документов и информации или осуществления действий,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находятся в распоряжении органов, предоставляющих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представления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 при первоначальном отказе в приеме документов,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предоставления услуги, либо в предоставлении услуги, о чем в письменном виде за подписью руководителя Администрации, Комитета, Центра уведомляется заявитель, а также приносятся извинения за доставленные неудобства;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/>
    </w:p>
    <w:p>
      <w:pPr>
        <w:pStyle w:val="989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нескольких муниципальных услуг </w:t>
      </w:r>
      <w:r/>
    </w:p>
    <w:p>
      <w:pPr>
        <w:pStyle w:val="989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Заявитель имеет право на получение услуги посредством обращения в Центр с запросом о предоставлении нескольких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комплексный запрос). В этом случае Центр направляет в Комитет заявление, подписанное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" w:name="P304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27. Основание</w:t>
      </w:r>
      <w:r>
        <w:rPr>
          <w:rFonts w:ascii="Times New Roman" w:hAnsi="Times New Roman" w:cs="Times New Roman"/>
          <w:sz w:val="28"/>
          <w:szCs w:val="28"/>
        </w:rPr>
        <w:t xml:space="preserve">м для отказа в приеме документов, необходимых для предоставления услуги, представленных в электронной форме, независимо от варианта предоставления услуги является признание недействительной усиленной квалифицированной электронной подписи,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которой подписаны указанные документы.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услуги, представленных лично в Комитет, Центр, отсутствуют.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8" w:name="P309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услуги, отказа в предоставлении услуги, возврата заявления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Основания для приостановления предоставления услуги независимо от варианта предоставления услуги отсутствуют. Приостановление предоставления услуги не предусмотрено.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29. Основаниями для отказа в предоставлении услуги для варианта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являются:</w:t>
      </w:r>
      <w:r/>
    </w:p>
    <w:p>
      <w:pPr>
        <w:pStyle w:val="989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документы, указанные в пункте 18 Административного регламента, заявителем не представлены либо представлены не в полном объеме;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заявитель не является правообладателем земельного участка (если запрашивается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земельного участка)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на земельном участке, в отношении которого запрашивается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использования, расположены объекты капитального строительства, за исключением линейных объектов, принадлежащие лицам, не являющимся правообладателями земельного участка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если запрашивается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земельного участка)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заявитель не является правообладателем объекта капитального строительства (если запрашивается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3"/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 запрашиваемый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условно разрешенный вид использования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 соответствует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виду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разрешенного использования земельного участка, на котором расположен данный объект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(если запра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земельный участок, в отношении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которого запрашивается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использования, или земельный участок, на котором расположен объект капитального строительства, в отношении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которого запрашивается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использования, не сформирован в порядке, установленном земельным законодательством Российской Федерации;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7)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Градостроительного кодекса Российской Федерации,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в исполнительный орган государственной власти, должнос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азе в удовлетворении исковых требований о сносе самовольной постройки или ее приведении в соответствие с установленными требованиями;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8) отрицательная рекомендация Комиссии.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30.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 для варианта «Исправление допущенных опечаток и (или) ошибок в выданных в результате предоставления услуги документах» является отсутствие опечаток и (или) ошибок в выданных в результате предоставления услуги документах.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31. Основанием для возврата заявления является подача заявления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неуполномоченный на предоставление услуги.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услуги, и способы ее взимания</w:t>
      </w:r>
      <w:r/>
    </w:p>
    <w:p>
      <w:pPr>
        <w:pStyle w:val="989"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Государственная пошлина или иная плата за предоставление услуги не установлена. Услуга предоставляется на безвозмездной основе.</w:t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Максимальный срок ожидания в очереди при подаче заявления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и при получении результата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/>
    </w:p>
    <w:p>
      <w:pPr>
        <w:pStyle w:val="1004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bCs w:val="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33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и при получении результата предоставления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в Комитете и Центре не должен превышать 15 минут.</w:t>
      </w:r>
      <w:r>
        <w:rPr>
          <w:highlight w:val="white"/>
        </w:rPr>
      </w:r>
      <w:r/>
    </w:p>
    <w:p>
      <w:pPr>
        <w:pStyle w:val="991"/>
        <w:jc w:val="center"/>
        <w:spacing w:line="192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помещениям, в которых предоставляется услуга</w:t>
      </w:r>
      <w:r/>
    </w:p>
    <w:p>
      <w:pPr>
        <w:pStyle w:val="991"/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Здание, помещения, в которых расположен Комитет, должны соответствовать условиям беспрепятственного доступа заявителей, в том числе инвалидов в соответствии с Федеральным законом «О социальной защите инвалидов в Российской Федерации».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Зал ожидания должен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комфортным условиям для заявителей и оптимальным условиям работы специалистов Комитета. 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оборудуется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</w:t>
      </w:r>
      <w:r>
        <w:rPr>
          <w:rFonts w:ascii="Times New Roman" w:hAnsi="Times New Roman" w:cs="Times New Roman"/>
          <w:sz w:val="28"/>
          <w:szCs w:val="28"/>
        </w:rPr>
        <w:br/>
        <w:t xml:space="preserve">5 мест.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заявления, заявления об исправлении ошибок находятся в специально выделенных для данных целей помещениях Комитета и оборудованы информационными табличками (вывесками) с указанием: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прием и выдачу документов;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времени перерыва, технического перерыва.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зале ожидания размещается следующая информация: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услуги, номера телефонов, адрес официального сайта и электронной почты Комитета;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размещении работников Комитета;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Комитетом;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услуги, и требования, предъявляемые к документам;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услуги.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залу ожидания, местам для </w:t>
        <w:br/>
        <w:t xml:space="preserve">заполнения заявления, заявления об исправлении ошибок в Центре установлены </w:t>
      </w:r>
      <w:hyperlink r:id="rId17" w:tooltip="consultantplus://offline/ref=91CA5A7535027104E8BE1DFA734B79AE674D53AC939610F8CF5D2BC56098404F02D23864AEAFD3362A05061807h0E1I" w:history="1">
        <w:r>
          <w:rPr>
            <w:rFonts w:ascii="Times New Roman" w:hAnsi="Times New Roman" w:cs="Times New Roman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  <w:br/>
        <w:t xml:space="preserve">от 22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1376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услуг».</w:t>
      </w:r>
      <w:r/>
    </w:p>
    <w:p>
      <w:pPr>
        <w:pStyle w:val="991"/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услуги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Показателями качества и доступности услуги являются: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доступность электронных форм документов, необходимых для предоставления услуги;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возможность подачи заявления и документов, необходимых для предоставления услуги, в электронной форме;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своевременное предоставление услуги (отсутствие нарушений сроков предоставления услуги);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удобство информирования заявителя о ходе предоставления услуги, а также получения результата предоставления услуги;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предоставление услуги в соответствии с вариантом предоставления услуги.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 к предоставлению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в электронной форме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16"/>
          <w:szCs w:val="16"/>
        </w:rPr>
        <w:outlineLvl w:val="2"/>
      </w:pPr>
      <w:r>
        <w:rPr>
          <w:rFonts w:ascii="Times New Roman" w:hAnsi="Times New Roman" w:cs="Times New Roman"/>
          <w:b w:val="0"/>
          <w:sz w:val="16"/>
          <w:szCs w:val="16"/>
        </w:rPr>
      </w:r>
      <w:r>
        <w:rPr>
          <w:rFonts w:ascii="Times New Roman" w:hAnsi="Times New Roman" w:cs="Times New Roman"/>
          <w:b w:val="0"/>
          <w:sz w:val="16"/>
          <w:szCs w:val="16"/>
        </w:rPr>
      </w:r>
      <w:r/>
    </w:p>
    <w:p>
      <w:pPr>
        <w:pStyle w:val="99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36. Получение заявителем услуг, необходимых и обязательных для предоставления услуги, не предусмотрено.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37. Перечень информационных систем, используемых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услуги:</w:t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1) Единый портал;</w:t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2) Портал государственных и муниципальных услуг Ставропольского края;</w:t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3) государственная информационная система «МФЦ»;</w:t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4) информационная система, используемая для регистрации заявлений о предоставлении муниципальных услуг в Комитете.</w:t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Случаи и порядок предоставления услуги в упреждающем</w:t>
      </w:r>
      <w:r/>
    </w:p>
    <w:p>
      <w:pPr>
        <w:pStyle w:val="991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(проактивном) режиме</w:t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Случаи и порядок предоставления услуги в упреждающем (проактивном)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режиме не предусмотрены.</w:t>
      </w:r>
      <w:r/>
    </w:p>
    <w:p>
      <w:pPr>
        <w:pStyle w:val="991"/>
        <w:jc w:val="both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 Состав, последовательность и сроки выполнения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административных процедур</w:t>
      </w:r>
      <w:r/>
    </w:p>
    <w:p>
      <w:pPr>
        <w:pStyle w:val="991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вариантов предоставления услуги</w:t>
      </w:r>
      <w:r/>
    </w:p>
    <w:p>
      <w:pPr>
        <w:pStyle w:val="991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1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39. Варианты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1) предоставление разрешения на условно разрешенный вид использования земельного участка или объекта капитального строительства;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2) исправление допущенных опечаток и (или) ошибок в выданных в результате предоставления услуги документах.</w:t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40. Выдача дубликата документа, выданного по результатам предоставления услуги, не предусмотрена.</w:t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Возврат заявления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при наличии оснований, предусмотренных пунктом 31 Административного регламента.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Оставление без рассмотрения заявления об исправлении ошибок не предусмотрено.</w:t>
      </w:r>
      <w:r/>
    </w:p>
    <w:p>
      <w:pPr>
        <w:pStyle w:val="991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административных процедур при предоставлении услуги</w:t>
      </w:r>
      <w:r/>
    </w:p>
    <w:p>
      <w:pPr>
        <w:pStyle w:val="991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42. Предоставление услуги включает в себя следующие административные процедуры:</w:t>
      </w:r>
      <w:r/>
    </w:p>
    <w:p>
      <w:pPr>
        <w:pStyle w:val="989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профилирование заявителя;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прием заявлений и документов, необходимых для предоставления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межведомственное информационное взаимодействие;</w:t>
      </w:r>
      <w:r/>
    </w:p>
    <w:p>
      <w:pPr>
        <w:pStyle w:val="100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подготовка уведомления о возврате заявления;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подготовка документов, свидетельствующих о включении в градостроительный регламент запрашиваемого условно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разрешенного вида использования земельного участка или объекта капитального строительства по инициативе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общественные обсуждения по проекту правового акта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земельного участка или объекта капитального строительства;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о предоставлении (об отказе в предоставлении) услуги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предоставление заявителю результата предоставления услуги.</w:t>
      </w:r>
      <w:r/>
    </w:p>
    <w:p>
      <w:pPr>
        <w:pStyle w:val="98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91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профилирования заявителя</w:t>
      </w:r>
      <w:r/>
    </w:p>
    <w:p>
      <w:pPr>
        <w:pStyle w:val="991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43. </w:t>
      </w:r>
      <w:r>
        <w:rPr>
          <w:rFonts w:ascii="Times New Roman" w:hAnsi="Times New Roman" w:eastAsia="Arial" w:cs="Times New Roman"/>
          <w:b w:val="0"/>
          <w:color w:val="000000" w:themeColor="text1"/>
          <w:sz w:val="28"/>
          <w:szCs w:val="28"/>
        </w:rPr>
        <w:t xml:space="preserve">Предъявление заявителю варианта предоставления услуги осуществляется следующими способами: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1) посредством Единого портала, </w:t>
      </w:r>
      <w:r>
        <w:rPr>
          <w:rFonts w:ascii="Times New Roman" w:hAnsi="Times New Roman" w:cs="Times New Roman"/>
          <w:sz w:val="28"/>
          <w:szCs w:val="28"/>
        </w:rPr>
        <w:t xml:space="preserve">Портала государственных и муниципальных услуг Ставропольского края;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2) в Комитете;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3) в Центре.</w:t>
      </w:r>
      <w:r/>
    </w:p>
    <w:p>
      <w:pPr>
        <w:ind w:firstLine="480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ab/>
        <w:t xml:space="preserve">44. Определение необходимого заявителю варианта предоставления услуги осуществляется посредством анкетирования заявителя на Портале,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Ставропольского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Комитете, Центре.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45. Перечень общих признаков, по которым объединяются категории заявителей, соответствующих одному варианту предоставления услуги,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приведены в приложении 3 к Административному регламенту.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приема заявлений </w:t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46. Составы заявления, заявления об исправлении ошибок приведены соответственно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приложениях 1 и 2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47. Перечень документов, необходимых для предоставления услуги в соответствии с вариантом ее предоставления, приведен в пунктах 18, 19 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48. Способы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указанных в пунктах 18, 19 Административного регламента, приведены в пункте 20 Административного регламента. 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49. От имени заявителей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заявлением об исправлении ошибок вправе обратиться представители заявителей.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50. Основания для отказа в приеме документов, необходимых для предоставления услуги, приведены в пункте 27 Административного регламента.</w:t>
      </w:r>
      <w:r/>
    </w:p>
    <w:p>
      <w:pPr>
        <w:pStyle w:val="989"/>
        <w:ind w:firstLine="708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Возможность приема 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заявления об исправлении ошибок и документов, необходимых для предоставления услуги,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ind w:firstLine="708"/>
        <w:jc w:val="both"/>
        <w:spacing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52. Способы установления личности заявителя либо представителя заявителя: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1) в случае обращения в Комитет, Центр установление личности заявителя либо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заявителя осуществляется путем проверки документа, удостоверяющего личность заявителя либо представителя заявителя, документа, удостоверяющего права (полномочия) представителя заявителя, если от имени заявителя обращается представитель заявителя;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</w:t>
      </w:r>
      <w:r>
        <w:rPr>
          <w:rFonts w:ascii="Times New Roman" w:hAnsi="Times New Roman" w:cs="Times New Roman"/>
          <w:sz w:val="28"/>
          <w:szCs w:val="28"/>
        </w:rPr>
        <w:t xml:space="preserve"> случае обращения посредством Единого портала, Портала государственных и муниципальных услуг Ставропольского края установление личности заявителя либо представителя заявителя осуществляется путем идентификации и аутентификации заявителя либо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единой системы идентификации и аутентификации, а также электронной подписи, с использованием которой подписаны заявление, заявление об исправлении ошибок и документы, необходимые для предоставления услуги.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53. В случае обращения за предоставлением услуги в Комитет, Центр специалист отдела формирования земельных участков Комитета, специалист по работе с заявителями Центра соответственно: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 или представителя заявителя;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тексты документов должны быть написаны разборчиво;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фамилии, имена, отчества (при наличии), адреса мест жительства указываются полностью;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отсутствие в документах подчисток, приписок, зачеркнутых слов и иных неоговоренных исправлений;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документы не исполнены карандашом;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документы не имеют серьезных повреждений, наличие которых не позволяет однозначно истолковать их содержание;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не истек срок действия представленных документов;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сверяет представленные заявителем подлинник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(копии документов, заверенные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возвращает заявителю или представителю заявителя подлинники представленных документов (копии документов, заверенные в порядке, установленном действующим законодательством); 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вносит в соответствующую информационную систему, указанную в подпунктах 3 и 4 пункта 37 Административного регламента, следующие данные: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запись о приеме заявления, заявления об исправлении ошибок и документов, необходимых для предоставления услуги;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порядковый номер записи;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дату внесения записи;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данные заявителя – фамилию, имя, отчество (при наличии);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6) выдает заявителю или представителю заявителя расписку о приеме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54. Центр направляет в Комитет заявление об исправлении ошибок и документы, указанные в пункте 19 Административного регламента, в день их поступления.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В случае обращения за предоставлением услуги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Единого портала, Портала государственных и муниципальных услуг Ставропольского края в электронной форме специалист отдела формирования земельных участков Комитета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или в течение первого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необходимые для предоставления услуги, предусматривающую проверку соблюдения условий, указанных в </w:t>
      </w:r>
      <w:hyperlink r:id="rId18" w:tooltip="consultantplus://offline/ref=91CA5A7535027104E8BE1DFA734B79AE674D50A7999710F8CF5D2BC56098404F10D26068AFAFCD3E261050494157C3E59E8825D448B63F58h4EE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 апреля 2011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приеме документов, необходимых для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электронной форме, указанных в пункте 27 Административного регламента, а также в случаях, если указанные документы подписаны простой электронной подписью или усиленной неквалифицированной электронной подписью, специалист отдела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земельных участков Комитета осуществляет распечатку заявления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необходимых для предоставления услуги, проставляет заверительную подпись «Получено по электронным каналам связи с исполь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ованием электронной подписи», свою должность, личную подпись, расшифровку подписи, вносит в информационную систему, указанную в подпункте 4 </w:t>
        <w:br/>
        <w:t xml:space="preserve">пункта 37 Административного регламента, данные, перечисленные в подпункте 5 пункта 53 Административного регламента;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приеме документов, необходимых для предоставления услуги, представленных в электронной форме, указанных в пункте 27 Административного регламента, осуществляет подготовку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предоставления услуги, представленных в электронной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(далее – уведомление об отказе в приеме) 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согласно приложению 4 к Административному 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56. В течение трех дней со дня подготовки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</w:t>
      </w:r>
      <w:r>
        <w:rPr>
          <w:rFonts w:ascii="Times New Roman" w:hAnsi="Times New Roman" w:cs="Times New Roman"/>
          <w:sz w:val="28"/>
          <w:szCs w:val="28"/>
        </w:rPr>
        <w:t xml:space="preserve">казе в приеме: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заместитель главы администрации города Ставрополя, руководитель комитета по управлению муниципальным имуществом города Ставрополя (далее – руководитель Комитета) подписывает проект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приеме;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специалист отдела делопроизводства и технического обеспечения Комитета регистрирует уведомление об отказе в приеме;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формирования земельных учас</w:t>
      </w:r>
      <w:r>
        <w:rPr>
          <w:rFonts w:ascii="Times New Roman" w:hAnsi="Times New Roman" w:cs="Times New Roman"/>
          <w:sz w:val="28"/>
          <w:szCs w:val="28"/>
        </w:rPr>
        <w:t xml:space="preserve">тков Комитета направляет подписанное усиленной квалифицированной электронной подписью руководителя Комитета уведомление об отказе в приеме в личный кабинет заявителя на Едином портале, на Портале государственных и муниципальных услуг Ставропольского края. 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57. Ответственность за подготовку уведомления об отказе в приеме несет руководитель отдела формирования земельных участков Комитета.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Срок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необходимых для предоставления услуги: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не должен превышать 15 минут в случае обращения с заявлением,</w:t>
      </w:r>
      <w:r>
        <w:rPr>
          <w:rFonts w:ascii="Times New Roman" w:hAnsi="Times New Roman" w:cs="Times New Roman"/>
          <w:sz w:val="28"/>
          <w:szCs w:val="28"/>
        </w:rPr>
        <w:t xml:space="preserve"> заявлением об исправлении ошибок в Комитет, в Центр;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необходимых для предоставления услуги, в электронной форме посредством Единого портала, Портала государственных и муниципальных услуг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(в случае их поступления в рабочий день) либо в течение первого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дни).</w:t>
      </w:r>
      <w:r/>
    </w:p>
    <w:p>
      <w:pPr>
        <w:ind w:firstLine="708"/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межведомственного информационного взаимодействия 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59. Перечень информационных запросов и запрашиваемых сведений, необходимых для предоставления услуги в соответствии с вариант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наименования органов и организаций, в которые направляются информационные запросы, приведены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в приложении 5 к Административному регламенту.</w:t>
      </w:r>
      <w:r>
        <w:rPr>
          <w:highlight w:val="white"/>
        </w:rPr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варианта предоставления услуги «Исправление допущенных опечаток и (или) ошибок в выданных в результате предоставления услуги документах» направление информационных запросов не предусмотрено.</w:t>
      </w:r>
      <w:r/>
    </w:p>
    <w:p>
      <w:pPr>
        <w:pStyle w:val="99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60. Специалист отдела формирования земельных участков Комитет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а, специалист отдела информационно-аналитической обработки документов Центра направляет информационные запросы не позднее дня, следующего за днем приема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документов, указанных в пункте 18 Административного регламента.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Срок, в течение которого результат информационного запроса должен поступить в Комитет, Центр, составляет не более пяти дней со дня его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62. Центр направляет в Комитет заявление</w:t>
      </w:r>
      <w:r>
        <w:rPr>
          <w:rFonts w:ascii="Times New Roman" w:hAnsi="Times New Roman" w:cs="Times New Roman"/>
          <w:sz w:val="28"/>
          <w:szCs w:val="28"/>
        </w:rPr>
        <w:t xml:space="preserve">, документы, указанные в пункте 18 Административного регламента, а также документы, полученные в рамках межведомственного информационного взаимодействия, в день их получения.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3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подготовки уведомления о возврате заявления </w:t>
      </w:r>
      <w:r/>
    </w:p>
    <w:p>
      <w:pPr>
        <w:pStyle w:val="1003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0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63. В течение двух дней со дня поступления в Комитет заявления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18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0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наличии оснований для возврата заявления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hyperlink w:tooltip="#P367" w:anchor="P36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Административного регламента: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0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проекта уведомления о возврате заявления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уведомление о возврате)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приложению 6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регламенту;</w:t>
      </w:r>
      <w:r/>
    </w:p>
    <w:p>
      <w:pPr>
        <w:pStyle w:val="1003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руководитель Комитета подписывает проект уведомления о возврате;</w:t>
      </w:r>
      <w:r/>
    </w:p>
    <w:p>
      <w:pPr>
        <w:pStyle w:val="100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специалист отдела делопроизводства и технического обеспечения Комитета регистрирует уведомление о возврате и направляет уведомление о возврате по месту жительства заявителя, указанному в заявлении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03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г) специалист отдела формирования земельных участков Комитета направляе</w:t>
      </w:r>
      <w:r>
        <w:rPr>
          <w:rFonts w:ascii="Times New Roman" w:hAnsi="Times New Roman" w:cs="Times New Roman"/>
          <w:sz w:val="28"/>
          <w:szCs w:val="28"/>
        </w:rPr>
        <w:t xml:space="preserve">т копию уведомления о возврате в Центр (в случае если заявитель обратился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в Центр), подписанное усиленной квалифицированной электронной подписью руководителя Комитета уведомление о возврате –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портале, Портале государственных и муниципальных услуг Ставропольского края (в случае если заявитель обратился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Единого портала, Портала государственных и муниципальных услуг Ставропольского края);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03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возврата заявления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hyperlink w:tooltip="#P367" w:anchor="P36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Комитета направляет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пункте 18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документы, полученные в рамках межведомственного информационного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комитет градостроительства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100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Описание административ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процедуры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подготовки документов, свидетельствующих о включении в градостроительный регламент запрашиваемого условно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разрешенного вида использования земельного участка или объекта капитального строительства по инициативе заявителя</w:t>
      </w:r>
      <w:r>
        <w:rPr>
          <w:highlight w:val="white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64.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дней со дня поступления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комитет градостроительства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18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документов, полученных в рамках межведомственного информационного взаимодействия: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 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управления архитектуры комитета градостроительства администрации города Ставрополя обеспечивает подготовку и утверждает градостроительное 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(несоответствие) требованиям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земельного, градостроительного законодательства Российской Федерации, Правилам землепользования и застройки муниципального образования города Ставрополя Ставропольского края, техническим регламентам, строительным нормам и правилам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запрашиваемого условно разрешенного вида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градостроительное заключение);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градостроительства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согласовывает градостроительное заключение;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протокола заседания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свидетельствующей о включении в градостроительный регламент запрашиваемого условно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разрешенного вида использования земельного участка или объекта капитального строительства по инициативе заявителя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18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в рамках межведомственного информационного взаимодействия, градостроительное заключение и </w:t>
      </w:r>
      <w:r>
        <w:rPr>
          <w:rFonts w:ascii="Times New Roman" w:hAnsi="Times New Roman" w:cs="Times New Roman"/>
          <w:sz w:val="28"/>
          <w:szCs w:val="28"/>
        </w:rPr>
        <w:t xml:space="preserve">выписку из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right="0" w:firstLine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Описание административ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процедуры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общественных обсуждений по проекту правового акта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right="0" w:firstLine="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65.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проекту правового акта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проводятся в соответствии 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решением Ставропольской городской Думы от 25 июля 2018 г. № 251.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66.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 заседания Комиссии по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проекту правового акта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управления архитектуры комитета градостроительства администрации города Ставрополя обеспечивает подготовку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градостроительное заключение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градостроительства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согласовывает градостроительное заключение</w:t>
      </w:r>
      <w:r>
        <w:t xml:space="preserve">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67. Срок проведения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бщественных обсуждений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проекту правового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акта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не должен превышать одного месяца.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68. Секретарь Комиссии направляет в Комитет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пункте 18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в рамках межведомственного информационного взаимодействия,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градостроительное заключение,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рекомендацию главе города Ставрополя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(далее - рекомендация главе города Ставрополя), выписку из </w:t>
      </w:r>
      <w:r>
        <w:rPr>
          <w:rFonts w:ascii="Times New Roman" w:hAnsi="Times New Roman" w:cs="Times New Roman"/>
          <w:sz w:val="28"/>
          <w:szCs w:val="28"/>
        </w:rPr>
        <w:t xml:space="preserve">протокола общественных обсуждений и заключение о результатах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суждений в Комитет.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принятия решения о предоставлении (об отказе в предоставлении) услуги для варианта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ind w:firstLine="708"/>
        <w:jc w:val="both"/>
        <w:spacing w:before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69. Критерием принятия решения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(об отказе в предоставлении)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отсутствие либо наличие оснований для отказа в предоставлении услуги, указанных в пункте 29 Административного регламента.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3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70. В течение десяти дней со дня поступления в Комитет заявления и документов, указанных в подпункте 4 пункта 64, пункте 68 Административного регламента (далее – документы, необходимые для предоставления услуги)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претензионно-исковой работы Комитета,  руководитель отде</w:t>
      </w:r>
      <w:r>
        <w:rPr>
          <w:rFonts w:ascii="Times New Roman" w:hAnsi="Times New Roman" w:cs="Times New Roman"/>
          <w:sz w:val="28"/>
          <w:szCs w:val="28"/>
        </w:rPr>
        <w:t xml:space="preserve">ла муниципального земельного контроля Комитета в течение двух дней обеспечивают соответственно подготовку заключения о наличии (отсутствии) судебных споров, </w:t>
      </w:r>
      <w:r>
        <w:rPr>
          <w:rFonts w:ascii="Times New Roman" w:hAnsi="Times New Roman" w:cs="Times New Roman"/>
          <w:sz w:val="28"/>
          <w:szCs w:val="28"/>
        </w:rPr>
        <w:t xml:space="preserve">акта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для которого запрашивается разрешение на условно разрешенный вид использования, или в отношении земельного участка, на котором расположен объект капитального строительства и для </w:t>
      </w:r>
      <w:r>
        <w:rPr>
          <w:rFonts w:ascii="Times New Roman" w:hAnsi="Times New Roman" w:cs="Times New Roman"/>
          <w:sz w:val="28"/>
          <w:szCs w:val="28"/>
        </w:rPr>
        <w:t xml:space="preserve">которого запрашивается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отдела формирования земельных участков Комитета в течение трех дней обеспечивает:</w:t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проведение анализа документов, необходимых для предоставления услуги, с учетом архивных материалов;</w:t>
      </w:r>
      <w:r/>
    </w:p>
    <w:p>
      <w:pPr>
        <w:pStyle w:val="100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визирование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Ставрополя о предоставлении разрешения на условно разрешенный вид использования земельного участка или объекта капитального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Ставрополя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постановление). 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руководитель отдела формирования земельных участков Комитета;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руководитель отдела правового обеспечения деятельности Комитета в течение двух дней обеспечивает проведение правовой экспертизы проекта постановления и документов, необходимых для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 либо возвращает указанные документы с соответствующим мотивированным заключением в отдел формирования земельных участков Комитета на доработку.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постановления несет руководитель отдела правового обеспечения деятельности Комитета;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заместитель руководителя Комитета, курирующий направление деятельности отдела формирования земельных участков Комитета, в течение одного дня визирует проект постановления;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руководитель Комитета в течение одного дня визирует проект постановления;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bookmarkStart w:id="10" w:name="P617"/>
      <w:r/>
      <w:bookmarkEnd w:id="10"/>
      <w:r>
        <w:rPr>
          <w:rFonts w:ascii="Times New Roman" w:hAnsi="Times New Roman" w:cs="Times New Roman"/>
          <w:sz w:val="28"/>
          <w:szCs w:val="28"/>
        </w:rPr>
        <w:t xml:space="preserve">руководитель отдела делопроизводства и технического обеспечения Комитета в течение одного дня со дня поступления проекта постановления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его регистраци</w:t>
      </w:r>
      <w:r>
        <w:rPr>
          <w:rFonts w:ascii="Times New Roman" w:hAnsi="Times New Roman" w:cs="Times New Roman"/>
          <w:sz w:val="28"/>
          <w:szCs w:val="28"/>
        </w:rPr>
        <w:t xml:space="preserve">ю, изготовление в одном экземпляре копий документов, необходимых для предоставления услуги, направление проекта постановления, подлинников и копий документов, необходимых для предоставления услуги, по реестру передачи в Администрацию.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аконодательству документов, подготовленных в результате административных действий, предусмотренных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Административного регламента, несет руководитель Комитета.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Прохождение процедуры согласования проекта постановления в Администрации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через отдел канцелярии управления делопроизводства и архива Администрации, специалист которого регистрирует проект постановления в день его поступления из Комитета. Проект постановления возвращается каждым визирующим лицом Администрации в отдел ка</w:t>
      </w:r>
      <w:r>
        <w:rPr>
          <w:rFonts w:ascii="Times New Roman" w:hAnsi="Times New Roman" w:cs="Times New Roman"/>
          <w:sz w:val="28"/>
          <w:szCs w:val="28"/>
        </w:rPr>
        <w:t xml:space="preserve">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В течение шести дней со дня поступления в Администрацию проекта постановления: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руководитель комитета правового обеспечения деятельности Администрации в течение двух дней: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обеспечивает проведение правовой экспертизы проекта постановления на соответствие требованиям действующего законодательства;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 подготовку информации о наличии либо отсутствии судебных споров в отношении испрашиваемого земельного участка;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визирует проект постановления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о несоответствии проекта постановления и документов, необходимых для предоставления услуги, требованиям действующего законодательства и возвращает их в Комитет на доработку;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общего отдела управления делопроизводства и архива Администрации в течение одного дня обеспечивает: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сшив, нумерацию, заверение печатью общего отдела управления делопроизводства и архива Администрации и собственноручной подписью подлинников и копий документов, необходимых для предоставления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лингвистической экспертизы проекта постановления;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первый заместитель главы администрации города Ставрополя в соответствии с распределением обязанностей в Администрации в течение одного дня визирует проект постановления;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глава города Ставрополя в течение одного дня подписывает проект постановления;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специалист общего отдела управления делопроизводства и архива Администрации в течение одного дня осуществляет: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регистрацию постановления;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изготовление копий постановления в количестве, указанном в рассылке;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направление копий постановления в количестве,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рассылке, и документов, необходимых для предоставления услуги, в Комитет, Центр;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направление в Комитет результата предоставления услуги в форме электронного документа по электронным каналам связи.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74. Подлинники постановления и документов, необходимых для предоставления услуги, хранятся в Администрации.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Максимальный срок принятия решения о предоставлении (об отказе в предоставлении) услуги для варианта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составляет шестнадцать дней со дня поступления в Комитет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услуги.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принятия решения о предоставлении (об отказе в предоставлении) услуги для варианта </w:t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«Исправление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91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Критерием принятия решения о предоставлении услуги либо решения об отказе в предоставлении услуги является отсутствие либо наличие оснований для отказа в предоставлении услуги, указанных в пункте 30 Административного регламента.</w:t>
      </w:r>
      <w:r/>
    </w:p>
    <w:p>
      <w:pPr>
        <w:pStyle w:val="9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77. В течение десяти дней со дня поступления в Комитет заявления об исправлении ошибок и документов, указанных в пункте 19 Административного регламента:</w:t>
      </w:r>
      <w:r/>
    </w:p>
    <w:p>
      <w:pPr>
        <w:pStyle w:val="9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руководитель отдела формирования земельных участков Комитета в течение пяти дней обеспечивает:</w:t>
      </w:r>
      <w:r/>
    </w:p>
    <w:p>
      <w:pPr>
        <w:pStyle w:val="9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проведение анализа выданного заявителю результата предоставления услуги; 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подготовку и визирование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 предоставлении разрешения на условно разрешенный вид использования земельного участка или объекта капитального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об исправлении ошибок) </w:t>
      </w:r>
      <w:r>
        <w:rPr>
          <w:rFonts w:ascii="Times New Roman" w:hAnsi="Times New Roman" w:cs="Times New Roman"/>
          <w:sz w:val="28"/>
          <w:szCs w:val="28"/>
        </w:rPr>
        <w:t xml:space="preserve">либо проекта уведомления об отказе в исправлении допущенных опечаток и (или) ошибок в выданных документах;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отдела правового обеспечения деятельности Комитета в течение двух дней обеспечивает проведение правовой экспертизы указанных документов на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требованиям действующего законодательства, визирует проект постановления об исправлении ошибок или проект уведомления об отказе в исправлении допущенных опечаток и (или) ошибок в выданных документах.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постановления об исправлении ошибок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уведомления об отказе в исправлении допущенных опечаток и (или) ошибок в выданных документах несет руководитель отдела правового обеспечения деятельности Комитета;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заместитель руководителя Комитета, курирующий направление деятельности отдела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земельных участков Комитета, в течение одного дня визирует проект постановления об исправлении ошибок или проект уведомления об отказе в исправлении допущенных опечаток и (или) ошибок в выданных документах;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Комитета в течение одного дня визирует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об исправлении ошибок или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об отказе в исправлении допущенных опечаток и (или) ошибок в выданных документах;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руководитель отдела делопроизводства и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обеспечения Комитета в течение одного дня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об исправлении ошибок или </w:t>
      </w:r>
      <w:r>
        <w:rPr>
          <w:rFonts w:ascii="Times New Roman" w:hAnsi="Times New Roman" w:cs="Times New Roman"/>
          <w:sz w:val="28"/>
          <w:szCs w:val="28"/>
        </w:rPr>
        <w:t xml:space="preserve"> или проекта уведомления об отказе в исправлении допущенных опечаток и (или) ошибок в выданных документах обеспечивает: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регистрацию проекта постановления об исправлении ошибок</w:t>
      </w:r>
      <w:r>
        <w:rPr>
          <w:rFonts w:ascii="Times New Roman" w:hAnsi="Times New Roman" w:cs="Times New Roman"/>
          <w:sz w:val="28"/>
          <w:szCs w:val="28"/>
        </w:rPr>
        <w:t xml:space="preserve">, изготовление в одном экземпляре копий прилагаемых документов, направление проекта постановления об исправлении ошибок, подлинников и копий документов по реестру передачи в Администрацию;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отказе в исправлении допущенных опечаток и (или) ошибок в выданных документах.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аконодательству документов, подготовленных в результате административных действий, предусмотренных пунктом 77 Административного регламента, несет руководитель Комитета.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Прохождение в Администрации процедуры согласования проекта постановления об исправлении ошибок осуществляется в том же порядке и в те же сроки, которые указаны в пунктах 72-75 Административного регламента.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80. Максимальный срок принятия решения о предоставлении (об отказе в предоставлении) услуги для ва</w:t>
      </w:r>
      <w:r>
        <w:rPr>
          <w:rFonts w:ascii="Times New Roman" w:hAnsi="Times New Roman" w:cs="Times New Roman"/>
          <w:sz w:val="28"/>
          <w:szCs w:val="28"/>
        </w:rPr>
        <w:t xml:space="preserve">рианта «Ис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равление допущенных опечаток и (или) ошибок в выданных в результате предоставления услуги документах» составляет шестнадцать дней со дня поступления в Комитет заявления об исправлении ошибок и документов, указанных в пункте 19 Административного регламента.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предоставления заявителю результата предоставления услуги</w:t>
      </w:r>
      <w:r/>
    </w:p>
    <w:p>
      <w:pPr>
        <w:pStyle w:val="98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Способы предоставления заявителю результата предоставления услуги: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обращения заявителя в Комитет результат предоставления услуги предоставляется заявителю в Комитете;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заявителя в Центр результат предоставления услуги предоставляется заявителю в Центре.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Комитета  направляет результат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с соответствующим реестром передачи</w:t>
      </w:r>
      <w:r>
        <w:rPr>
          <w:rFonts w:ascii="Times New Roman" w:hAnsi="Times New Roman" w:cs="Times New Roman"/>
          <w:sz w:val="28"/>
          <w:szCs w:val="28"/>
        </w:rPr>
        <w:t xml:space="preserve"> в Центр не позднее чем за один день до истечения срока, указанного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пункте 14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регламента;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 случае обращения заявителя за предоставлением услуги посредством Едино</w:t>
      </w:r>
      <w:r>
        <w:rPr>
          <w:rFonts w:ascii="Times New Roman" w:hAnsi="Times New Roman" w:cs="Times New Roman"/>
          <w:sz w:val="28"/>
          <w:szCs w:val="28"/>
        </w:rPr>
        <w:t xml:space="preserve">го портала или Портала государственных и муниципальных услуг Ставропольского края результат предоставления услуги направляется заявителю в форме электронного документа, подписанного усиленной квалифицированной электронной подписью руководителя Комитета,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Ставрополя, в личный кабинет заявителя на Едином портале или Портале государственных и муниципальных услуг Ставропольского края.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83. Срок предоставления заявителю результата предоставления услуги составляет один день со дня принятия решения о предоставлении услуги.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услуги при условии надлежащего уведомления заявителя о результате предоставления услуги и условиях его получения.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Возможность предоставления результата услуги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IV. Формы контроля 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Административного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85. Текущий контроль за соблюдением и исполнением должностными лицами, муниципальными служащими, специалистами Администрации, Комитета, Центра положений Административного регламента и иных нормативных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устанавливающих требования к предоставлению услуги, а также принятием ими решений осуществляется руководителями соответствующих подразделений Администрации, Комитета, Центра в процессе исполнения административных процедур.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Контроль за полнотой и качеством предоставления услуги осуществляется уполномоченным органом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осуществляющим контроль за полнотой и качеством предоставления муниципальных услуг в городе Ставрополе (далее - уполномоченный орган) и включает в себя проведение проверок, выявлени</w:t>
      </w:r>
      <w:r>
        <w:rPr>
          <w:rFonts w:ascii="Times New Roman" w:hAnsi="Times New Roman" w:cs="Times New Roman"/>
          <w:sz w:val="28"/>
          <w:szCs w:val="28"/>
        </w:rPr>
        <w:t xml:space="preserve">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Должностные лица Администрации, Комитета, Центра несут персональную ответственность за полноту и качество осуществления соответствующих административных процедур. 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 случае допущенных нарушений должностные лица Администрации, Комитета, Центра привлекаются к ответственности в соответствии с законодательством Российской Федерации.</w:t>
      </w:r>
      <w:r/>
    </w:p>
    <w:p>
      <w:pPr>
        <w:pStyle w:val="98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94.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V. Досудебный (внесудебный) порядок обжалования решения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услугу,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лиц, муниципальных служащих, специалистов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услугу, Центра, специалистов Центра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праве заявителя подать жалобу на решения и действия (бездействие) органа, предоставляющего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услугу, должностных лиц, муниципальных служащих, специалистов органа, предоставляющего услугу, Центра,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специалистов Центра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жалобы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Заявитель может обратиться с жалобой, в том числе в следующих случаях: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строительства, комплексного запроса;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(или) ошибок в выданных в  результате предоставления услуги документах либо нарушение срока таких исправлений;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услуги;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Администрацией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tooltip="#P291" w:anchor="P29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3 пункта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25 Административного регламента.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 города Ставрополя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жалобы должностные лица,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которым может быть направлена жалоба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Жалоба на действия специалистов Комитета подается в Комитет и рассматривается его руководителем.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Жалоба на действия специалиста Центра подается в Центр и рассматривается его руководителем.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Жалоба на действия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Жалоба на действия руководителя государственного казенного учреждения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Заявители, являющиеся юридическими лицами, вправе подать жалобу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 и (или) действия (бездействие) Администрации, </w:t>
        <w:br/>
        <w:t xml:space="preserve">Комитета, должностных лиц, муниципальных служащих Администрации, Комитета, специалистов Комитета в антимонопольный орган в </w:t>
        <w:br/>
        <w:t xml:space="preserve">порядке, установленном антимонопольным законодательством Российской Федерации.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подачи и рассмотрения жалобы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Жалоба подается в письменной форме на бумажном носителе или в электронной форме.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Жалоб</w:t>
      </w:r>
      <w:r>
        <w:rPr>
          <w:rFonts w:ascii="Times New Roman" w:hAnsi="Times New Roman" w:cs="Times New Roman"/>
          <w:sz w:val="28"/>
          <w:szCs w:val="28"/>
        </w:rPr>
        <w:t xml:space="preserve">а может быть направлена по почте, через Центр, с использованием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Жалоба должна содержать: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которых обжалуются;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Сроки рассмотрения жалобы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Жалоба регистрируется в день ее поступления в Администрацию, Комитет, Центр.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6. Жалоба, поступившая в Администрацию,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</w:t>
      </w:r>
      <w:r>
        <w:rPr>
          <w:rFonts w:ascii="Times New Roman" w:hAnsi="Times New Roman" w:cs="Times New Roman"/>
          <w:sz w:val="28"/>
          <w:szCs w:val="28"/>
        </w:rPr>
        <w:t xml:space="preserve"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лица органа, предоставляющего услугу, </w:t>
        <w:br/>
        <w:t xml:space="preserve">в приеме документов у заявителя либо в исправлении допущенных </w:t>
        <w:br/>
        <w:t xml:space="preserve">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Жалоба на действия специалистов Комитета, Центра подлежит рассмотрению руководителем Комитета, Центра в течение пятнадцати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ее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рассмотрения жалобы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По результатам рассмотрения жалобы принимается одно из следующих решений: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</w:t>
      </w:r>
      <w:r>
        <w:rPr>
          <w:rFonts w:ascii="Times New Roman" w:hAnsi="Times New Roman" w:cs="Times New Roman"/>
          <w:sz w:val="28"/>
          <w:szCs w:val="28"/>
        </w:rPr>
        <w:t xml:space="preserve">равлен</w:t>
      </w:r>
      <w:r>
        <w:rPr>
          <w:rFonts w:ascii="Times New Roman" w:hAnsi="Times New Roman" w:cs="Times New Roman"/>
          <w:sz w:val="28"/>
          <w:szCs w:val="28"/>
        </w:rPr>
        <w:t xml:space="preserve">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города Ставрополя;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удовлетворении жалобы.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 оказание услуги возобновляется с начала административной процедуры, предусмотренной </w:t>
      </w:r>
      <w:hyperlink w:tooltip="#P600" w:anchor="P6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В случае установления в х</w:t>
      </w:r>
      <w:r>
        <w:rPr>
          <w:rFonts w:ascii="Times New Roman" w:hAnsi="Times New Roman" w:cs="Times New Roman"/>
          <w:sz w:val="28"/>
          <w:szCs w:val="28"/>
        </w:rPr>
        <w:t xml:space="preserve">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  <w:outlineLvl w:val="2"/>
      </w:pPr>
      <w:r>
        <w:rPr>
          <w:rFonts w:ascii="Times New Roman" w:hAnsi="Times New Roman" w:cs="Times New Roman"/>
          <w:b w:val="0"/>
          <w:sz w:val="16"/>
          <w:szCs w:val="16"/>
          <w:highlight w:val="none"/>
        </w:rPr>
      </w:r>
      <w:r>
        <w:rPr>
          <w:rFonts w:ascii="Times New Roman" w:hAnsi="Times New Roman" w:cs="Times New Roman"/>
          <w:b w:val="0"/>
          <w:bCs w:val="0"/>
          <w:sz w:val="16"/>
          <w:szCs w:val="16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информирования заявителя о результатах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рассмотрения жалобы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В случае признания жалобы подлежащей удовлетворению в ответе заявителю дается информация о действиях, осуществляемых Администрацией, Комитетом, Ц</w:t>
      </w:r>
      <w:r>
        <w:rPr>
          <w:rFonts w:ascii="Times New Roman" w:hAnsi="Times New Roman" w:cs="Times New Roman"/>
          <w:sz w:val="28"/>
          <w:szCs w:val="28"/>
        </w:rPr>
        <w:t xml:space="preserve">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Информация о порядке обжалования действий (бездействия), а также решений Комитета, Центра,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  <w:r/>
    </w:p>
    <w:p>
      <w:pPr>
        <w:pStyle w:val="9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обжалования решения по жалобе</w:t>
      </w:r>
      <w:r/>
    </w:p>
    <w:p>
      <w:pPr>
        <w:pStyle w:val="991"/>
        <w:jc w:val="center"/>
        <w:spacing w:line="192" w:lineRule="auto"/>
        <w:rPr>
          <w:rFonts w:ascii="Times New Roman" w:hAnsi="Times New Roman" w:cs="Times New Roman"/>
          <w:b w:val="0"/>
          <w:sz w:val="16"/>
          <w:szCs w:val="16"/>
        </w:rPr>
        <w:outlineLvl w:val="2"/>
      </w:pPr>
      <w:r>
        <w:rPr>
          <w:rFonts w:ascii="Times New Roman" w:hAnsi="Times New Roman" w:cs="Times New Roman"/>
          <w:b w:val="0"/>
          <w:sz w:val="16"/>
          <w:szCs w:val="16"/>
        </w:rPr>
      </w:r>
      <w:r>
        <w:rPr>
          <w:rFonts w:ascii="Times New Roman" w:hAnsi="Times New Roman" w:cs="Times New Roman"/>
          <w:b w:val="0"/>
          <w:sz w:val="16"/>
          <w:szCs w:val="16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Решение по жалобе может быть обжаловано в порядке, установленном законодательством Российской Федерации.</w:t>
      </w:r>
      <w:r/>
    </w:p>
    <w:p>
      <w:pPr>
        <w:pStyle w:val="9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 заявителя на получение информации и документов,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обоснования и рассмотрения жалобы</w:t>
      </w:r>
      <w:r/>
    </w:p>
    <w:p>
      <w:pPr>
        <w:pStyle w:val="9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8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Заявитель вправе получать информацию и доку</w:t>
      </w:r>
      <w:r>
        <w:rPr>
          <w:rFonts w:ascii="Times New Roman" w:hAnsi="Times New Roman" w:cs="Times New Roman"/>
          <w:sz w:val="28"/>
          <w:szCs w:val="28"/>
        </w:rPr>
        <w:t xml:space="preserve">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Способы информирования заявителей о порядке подачи</w:t>
      </w:r>
      <w:r/>
    </w:p>
    <w:p>
      <w:pPr>
        <w:pStyle w:val="99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рассмотрения жалобы</w:t>
      </w:r>
      <w:r/>
    </w:p>
    <w:p>
      <w:pPr>
        <w:pStyle w:val="989"/>
        <w:jc w:val="both"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89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115. Информирование заявителей о порядке подачи и рассмотрения жалобы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tooltip="#P88" w:anchor="P8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/>
    </w:p>
    <w:p>
      <w:pPr>
        <w:pStyle w:val="9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12"/>
          <w:headerReference w:type="first" r:id="rId13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4535"/>
        <w:jc w:val="both"/>
        <w:spacing w:line="283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pStyle w:val="989"/>
        <w:ind w:left="4535"/>
        <w:jc w:val="both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</w:t>
      </w:r>
      <w:r/>
    </w:p>
    <w:p>
      <w:pPr>
        <w:pStyle w:val="989"/>
        <w:jc w:val="center"/>
        <w:spacing w:line="283" w:lineRule="exact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ind w:left="2694"/>
        <w:spacing w:after="0" w:line="240" w:lineRule="auto"/>
        <w:widowControl w:val="off"/>
      </w:pPr>
      <w:r/>
      <w:r/>
    </w:p>
    <w:p>
      <w:pPr>
        <w:ind w:left="5529"/>
        <w:jc w:val="both"/>
        <w:spacing w:after="0" w:line="240" w:lineRule="auto"/>
        <w:widowControl w:val="off"/>
      </w:pPr>
      <w:r/>
      <w:r/>
    </w:p>
    <w:p>
      <w:pPr>
        <w:ind w:left="29" w:right="0" w:firstLine="0"/>
        <w:jc w:val="center"/>
        <w:spacing w:after="0" w:line="240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Заявление</w:t>
      </w:r>
      <w:r/>
    </w:p>
    <w:p>
      <w:pPr>
        <w:ind w:left="29" w:right="0" w:firstLine="0"/>
        <w:jc w:val="center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29" w:right="0" w:firstLine="0"/>
        <w:spacing w:after="0" w:line="240" w:lineRule="auto"/>
        <w:widowControl w:val="off"/>
      </w:pPr>
      <w:r/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предоставить разрешение на условно разрешенный вид использования ___________________________________________________________________________ </w:t>
      </w:r>
      <w:r/>
    </w:p>
    <w:p>
      <w:pPr>
        <w:jc w:val="center"/>
        <w:spacing w:after="0" w:line="240" w:lineRule="auto"/>
        <w:rPr>
          <w:rFonts w:ascii="Times New Roman" w:hAnsi="Times New Roman"/>
          <w:sz w:val="20"/>
          <w:szCs w:val="20"/>
          <w:highlight w:val="none"/>
        </w:rPr>
      </w:pPr>
      <w:r>
        <w:rPr>
          <w:rFonts w:ascii="Times New Roman" w:hAnsi="Times New Roman"/>
          <w:sz w:val="20"/>
          <w:szCs w:val="20"/>
          <w:highlight w:val="none"/>
        </w:rPr>
        <w:t xml:space="preserve">(указывается вид объекта недвижимости – земельный участок или объект капитального строительства)</w:t>
      </w:r>
      <w:r>
        <w:rPr>
          <w:rFonts w:ascii="Times New Roman" w:hAnsi="Times New Roman"/>
          <w:sz w:val="20"/>
          <w:szCs w:val="20"/>
          <w:highlight w:val="non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с кадастровым номером ________________________________________________________,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0"/>
          <w:szCs w:val="20"/>
          <w:highlight w:val="none"/>
        </w:rPr>
      </w:pPr>
      <w:r>
        <w:rPr>
          <w:rFonts w:ascii="Times New Roman" w:hAnsi="Times New Roman"/>
          <w:sz w:val="20"/>
          <w:szCs w:val="20"/>
          <w:highlight w:val="none"/>
        </w:rPr>
        <w:t xml:space="preserve">                  (указывается кадастровый номер земельного участка или объекта капитального строительства)</w:t>
      </w:r>
      <w:r>
        <w:rPr>
          <w:rFonts w:ascii="Times New Roman" w:hAnsi="Times New Roman"/>
          <w:sz w:val="20"/>
          <w:szCs w:val="20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площадью _____________, </w:t>
      </w:r>
      <w:r>
        <w:rPr>
          <w:rFonts w:ascii="Times New Roman" w:hAnsi="Times New Roman"/>
          <w:sz w:val="24"/>
          <w:szCs w:val="24"/>
        </w:rPr>
        <w:t xml:space="preserve">расположенный по адресу: _______________________________. 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Запрашиваемый условно разрешенный вид использования: ____________________</w:t>
      </w:r>
      <w:r/>
    </w:p>
    <w:p>
      <w:pPr>
        <w:spacing w:after="0" w:line="240" w:lineRule="auto"/>
        <w:rPr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highlight w:val="none"/>
        </w:rPr>
        <w:tab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Вид права на земельный участок или объект капитального строительства: 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</w:r>
      <w:r/>
    </w:p>
    <w:p>
      <w:pPr>
        <w:ind w:left="1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Приложение: </w:t>
      </w:r>
      <w:r/>
    </w:p>
    <w:p>
      <w:pPr>
        <w:jc w:val="both"/>
        <w:spacing w:after="0" w:line="240" w:lineRule="auto"/>
        <w:widowControl w:val="off"/>
      </w:pPr>
      <w:r/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Cs w:val="24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bCs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sz w:val="20"/>
          <w:szCs w:val="20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sz w:val="20"/>
          <w:szCs w:val="20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  <w:vertAlign w:val="baseline"/>
        </w:rPr>
      </w:pPr>
      <w:r>
        <w:rPr>
          <w:rFonts w:ascii="Times New Roman" w:hAnsi="Times New Roman" w:eastAsia="Times New Roman"/>
          <w:sz w:val="20"/>
          <w:szCs w:val="20"/>
          <w:highlight w:val="none"/>
          <w:vertAlign w:val="baseline"/>
        </w:rPr>
      </w:r>
      <w:r>
        <w:rPr>
          <w:rFonts w:ascii="Times New Roman" w:hAnsi="Times New Roman" w:eastAsia="Times New Roman"/>
          <w:sz w:val="20"/>
          <w:szCs w:val="20"/>
          <w:highlight w:val="none"/>
          <w:vertAlign w:val="baseline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/>
      <w:r/>
    </w:p>
    <w:p>
      <w:pPr>
        <w:pStyle w:val="989"/>
        <w:ind w:left="4535"/>
        <w:jc w:val="both"/>
        <w:spacing w:line="283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pStyle w:val="989"/>
        <w:ind w:left="4535"/>
        <w:jc w:val="both"/>
        <w:spacing w:line="283" w:lineRule="exact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</w:t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</w:pPr>
      <w:r/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я об исправлении ошибок</w:t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pPr>
      <w:r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/>
      <w:hyperlink w:tooltip="#P905" w:anchor="P905" w:history="1">
        <w:r>
          <w:rPr>
            <w:rFonts w:ascii="Times New Roman" w:hAnsi="Times New Roman" w:cs="Times New Roman"/>
            <w:sz w:val="24"/>
            <w:szCs w:val="24"/>
          </w:rPr>
          <w:t xml:space="preserve"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исправлении ошибок</w:t>
      </w:r>
      <w:r/>
    </w:p>
    <w:p>
      <w:pPr>
        <w:pStyle w:val="9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исправить опечатки и (или) ошибки в выданном по результатам предоставления услуги документе - _______________________________________________.</w:t>
      </w:r>
      <w:r/>
    </w:p>
    <w:p>
      <w:pPr>
        <w:pStyle w:val="9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(указываются реквизиты и наименование документа)</w:t>
      </w:r>
      <w:r/>
    </w:p>
    <w:p>
      <w:pPr>
        <w:ind w:left="5529"/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Обоснование наличия опечаток и (или) ошибок: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  <w:r/>
    </w:p>
    <w:p>
      <w:pPr>
        <w:pStyle w:val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bCs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4535"/>
        <w:jc w:val="both"/>
        <w:spacing w:line="283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989"/>
        <w:ind w:left="4535"/>
        <w:jc w:val="both"/>
        <w:spacing w:line="283" w:lineRule="exact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ПЕРЕЧЕНЬ </w:t>
      </w:r>
      <w:r/>
    </w:p>
    <w:p>
      <w:pPr>
        <w:jc w:val="center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общих признаков, по которым объединяются категории заявителей, соответствующих одному варианту предоставления услуги</w:t>
      </w:r>
      <w:r>
        <w:rPr>
          <w:rFonts w:ascii="Arial" w:hAnsi="Arial" w:eastAsia="Arial" w:cs="Arial"/>
          <w:color w:val="444444"/>
          <w:sz w:val="28"/>
          <w:szCs w:val="28"/>
        </w:rPr>
        <w:br/>
      </w:r>
      <w:r/>
    </w:p>
    <w:tbl>
      <w:tblPr>
        <w:tblStyle w:val="845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911"/>
        <w:gridCol w:w="4477"/>
        <w:gridCol w:w="395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Общие признаки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Вариант предоставления услуги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Заявители, обратившиеся за получением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pStyle w:val="991"/>
              <w:jc w:val="both"/>
              <w:outlineLvl w:val="2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Заявители, ранее обратившиеся за получением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», по результатам предоставления которой выданы документы с опечатками и (или) ошибками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допущенных опечаток и (или) ошибок в выданных в результате предоставления услуги документах</w:t>
            </w:r>
            <w:r/>
          </w:p>
        </w:tc>
      </w:tr>
    </w:tbl>
    <w:p>
      <w:pPr>
        <w:rPr>
          <w:rFonts w:ascii="Times New Roman" w:hAnsi="Times New Roman" w:eastAsia="Arial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color w:val="444444"/>
          <w:sz w:val="24"/>
          <w:szCs w:val="24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4535"/>
        <w:jc w:val="both"/>
        <w:spacing w:line="283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4</w:t>
      </w:r>
      <w:r/>
    </w:p>
    <w:p>
      <w:pPr>
        <w:pStyle w:val="989"/>
        <w:ind w:left="4535"/>
        <w:jc w:val="both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9"/>
        <w:ind w:lef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</w:pPr>
      <w:r/>
      <w:bookmarkStart w:id="11" w:name="P1092"/>
      <w:r/>
      <w:bookmarkEnd w:id="11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об отказе в приеме документов, необходимых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услуги, представленных в электронной форме</w:t>
      </w:r>
      <w:r/>
    </w:p>
    <w:p>
      <w:pPr>
        <w:pStyle w:val="989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услуги,</w:t>
      </w:r>
      <w:r/>
    </w:p>
    <w:p>
      <w:pPr>
        <w:pStyle w:val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электронной форме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Ваших документов, необходимых для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», представленных в электронной форме _________________________________(дата поступления документов) через _______________________________________ (указывается способ направления документов), отказано в связи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недействительностью усиленной квалифицированной электронной подписи, с использованием которой подписаны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документы.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990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990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990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4535"/>
        <w:jc w:val="both"/>
        <w:spacing w:line="283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5</w:t>
      </w:r>
      <w:r/>
    </w:p>
    <w:p>
      <w:pPr>
        <w:pStyle w:val="989"/>
        <w:ind w:left="4535"/>
        <w:jc w:val="both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9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45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676"/>
        <w:gridCol w:w="4218"/>
        <w:gridCol w:w="2268"/>
        <w:gridCol w:w="2301"/>
      </w:tblGrid>
      <w:tr>
        <w:trPr>
          <w:trHeight w:val="1535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1003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218" w:type="dxa"/>
            <w:vMerge w:val="restart"/>
            <w:textDirection w:val="lrTb"/>
            <w:noWrap w:val="false"/>
          </w:tcPr>
          <w:p>
            <w:pPr>
              <w:pStyle w:val="1003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03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с которым осуществляется межведомственное информационное взаимодействие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1003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представлению документа в порядке межведомственного информационного взаимодействия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42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218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>
          <w:trHeight w:val="991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218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(об объекте капитального строительства - здании, сооружении, помещениях в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отсутствии в ЕГРН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1003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91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218" w:type="dxa"/>
            <w:vMerge w:val="restart"/>
            <w:textDirection w:val="lrTb"/>
            <w:noWrap w:val="false"/>
          </w:tcPr>
          <w:p>
            <w:pPr>
              <w:pStyle w:val="1003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Единого государственного реестра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(в отношении заявителя, являющегося юридическим лицом) или выписка из Единого государственного реестра индивидуальных предпринимателей в отношении заявителя, являющегося индивидуальным предпринимателем) </w:t>
            </w:r>
            <w:r/>
          </w:p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ФНС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91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218" w:type="dxa"/>
            <w:vMerge w:val="restart"/>
            <w:textDirection w:val="lrTb"/>
            <w:noWrap w:val="false"/>
          </w:tcPr>
          <w:p>
            <w:pPr>
              <w:pStyle w:val="100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Информация о наличии либо отсутствии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уведомления о выявлении самовольной постройки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градостроительства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1003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1003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1003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ind w:left="4535"/>
        <w:jc w:val="both"/>
        <w:spacing w:line="283" w:lineRule="exact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/>
    </w:p>
    <w:p>
      <w:pPr>
        <w:pStyle w:val="989"/>
        <w:ind w:left="4535"/>
        <w:jc w:val="both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center"/>
        <w:spacing w:line="283" w:lineRule="exact"/>
        <w:rPr>
          <w:rFonts w:ascii="Times New Roman" w:hAnsi="Times New Roman" w:cs="Times New Roman"/>
          <w:sz w:val="28"/>
          <w:szCs w:val="28"/>
        </w:rPr>
      </w:pPr>
      <w:r/>
      <w:bookmarkStart w:id="12" w:name="P1145"/>
      <w:r/>
      <w:bookmarkEnd w:id="12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/>
    </w:p>
    <w:p>
      <w:pPr>
        <w:pStyle w:val="1003"/>
        <w:jc w:val="center"/>
        <w:spacing w:line="283" w:lineRule="exact"/>
      </w:pPr>
      <w:r>
        <w:rPr>
          <w:rFonts w:ascii="Times New Roman" w:hAnsi="Times New Roman" w:cs="Times New Roman"/>
          <w:sz w:val="28"/>
          <w:szCs w:val="28"/>
        </w:rPr>
        <w:t xml:space="preserve">уведомления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</w:t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>
        <w:rPr>
          <w:rFonts w:ascii="Times New Roman" w:hAnsi="Times New Roman" w:eastAsia="Arial" w:cs="Times New Roman"/>
          <w:color w:val="444444"/>
        </w:rPr>
      </w:r>
      <w:r/>
    </w:p>
    <w:p>
      <w:pPr>
        <w:pStyle w:val="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spacing w:after="1" w:line="19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990"/>
        <w:ind w:left="58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Возвращаем Ваше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_______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представленное в рамках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основаниям: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/>
    </w:p>
    <w:p>
      <w:pPr>
        <w:pStyle w:val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990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990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990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Segoe UI">
    <w:panose1 w:val="020B0502040504020204"/>
  </w:font>
  <w:font w:name="Tahoma">
    <w:panose1 w:val="020B060403050404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8491242"/>
      <w:docPartObj>
        <w:docPartGallery w:val="Page Numbers (Top of Page)"/>
        <w:docPartUnique w:val="true"/>
      </w:docPartObj>
      <w:rPr/>
    </w:sdtPr>
    <w:sdtContent>
      <w:p>
        <w:pPr>
          <w:pStyle w:val="99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9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88669736"/>
      <w:docPartObj>
        <w:docPartGallery w:val="Page Numbers (Top of Page)"/>
        <w:docPartUnique w:val="true"/>
      </w:docPartObj>
      <w:rPr/>
    </w:sdtPr>
    <w:sdtContent>
      <w:p>
        <w:pPr>
          <w:pStyle w:val="99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997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21"/>
  </w:num>
  <w:num w:numId="11">
    <w:abstractNumId w:val="15"/>
  </w:num>
  <w:num w:numId="12">
    <w:abstractNumId w:val="26"/>
  </w:num>
  <w:num w:numId="13">
    <w:abstractNumId w:val="12"/>
  </w:num>
  <w:num w:numId="14">
    <w:abstractNumId w:val="22"/>
  </w:num>
  <w:num w:numId="15">
    <w:abstractNumId w:val="2"/>
  </w:num>
  <w:num w:numId="16">
    <w:abstractNumId w:val="17"/>
  </w:num>
  <w:num w:numId="17">
    <w:abstractNumId w:val="0"/>
  </w:num>
  <w:num w:numId="18">
    <w:abstractNumId w:val="11"/>
  </w:num>
  <w:num w:numId="19">
    <w:abstractNumId w:val="7"/>
  </w:num>
  <w:num w:numId="20">
    <w:abstractNumId w:val="19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3"/>
  </w:num>
  <w:num w:numId="26">
    <w:abstractNumId w:val="24"/>
  </w:num>
  <w:num w:numId="27">
    <w:abstractNumId w:val="14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4">
    <w:name w:val="Heading 1 Char"/>
    <w:basedOn w:val="819"/>
    <w:link w:val="810"/>
    <w:uiPriority w:val="9"/>
    <w:rPr>
      <w:rFonts w:ascii="Arial" w:hAnsi="Arial" w:eastAsia="Arial" w:cs="Arial"/>
      <w:sz w:val="40"/>
      <w:szCs w:val="40"/>
    </w:rPr>
  </w:style>
  <w:style w:type="character" w:styleId="795">
    <w:name w:val="Heading 2 Char"/>
    <w:basedOn w:val="819"/>
    <w:link w:val="811"/>
    <w:uiPriority w:val="9"/>
    <w:rPr>
      <w:rFonts w:ascii="Arial" w:hAnsi="Arial" w:eastAsia="Arial" w:cs="Arial"/>
      <w:sz w:val="34"/>
    </w:rPr>
  </w:style>
  <w:style w:type="character" w:styleId="796">
    <w:name w:val="Heading 3 Char"/>
    <w:basedOn w:val="819"/>
    <w:link w:val="812"/>
    <w:uiPriority w:val="9"/>
    <w:rPr>
      <w:rFonts w:ascii="Arial" w:hAnsi="Arial" w:eastAsia="Arial" w:cs="Arial"/>
      <w:sz w:val="30"/>
      <w:szCs w:val="30"/>
    </w:rPr>
  </w:style>
  <w:style w:type="character" w:styleId="797">
    <w:name w:val="Heading 4 Char"/>
    <w:basedOn w:val="819"/>
    <w:link w:val="813"/>
    <w:uiPriority w:val="9"/>
    <w:rPr>
      <w:rFonts w:ascii="Arial" w:hAnsi="Arial" w:eastAsia="Arial" w:cs="Arial"/>
      <w:b/>
      <w:bCs/>
      <w:sz w:val="26"/>
      <w:szCs w:val="26"/>
    </w:rPr>
  </w:style>
  <w:style w:type="character" w:styleId="798">
    <w:name w:val="Heading 5 Char"/>
    <w:basedOn w:val="819"/>
    <w:link w:val="814"/>
    <w:uiPriority w:val="9"/>
    <w:rPr>
      <w:rFonts w:ascii="Arial" w:hAnsi="Arial" w:eastAsia="Arial" w:cs="Arial"/>
      <w:b/>
      <w:bCs/>
      <w:sz w:val="24"/>
      <w:szCs w:val="24"/>
    </w:rPr>
  </w:style>
  <w:style w:type="character" w:styleId="799">
    <w:name w:val="Heading 6 Char"/>
    <w:basedOn w:val="819"/>
    <w:link w:val="815"/>
    <w:uiPriority w:val="9"/>
    <w:rPr>
      <w:rFonts w:ascii="Arial" w:hAnsi="Arial" w:eastAsia="Arial" w:cs="Arial"/>
      <w:b/>
      <w:bCs/>
      <w:sz w:val="22"/>
      <w:szCs w:val="22"/>
    </w:rPr>
  </w:style>
  <w:style w:type="character" w:styleId="800">
    <w:name w:val="Heading 7 Char"/>
    <w:basedOn w:val="819"/>
    <w:link w:val="8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1">
    <w:name w:val="Heading 8 Char"/>
    <w:basedOn w:val="819"/>
    <w:link w:val="817"/>
    <w:uiPriority w:val="9"/>
    <w:rPr>
      <w:rFonts w:ascii="Arial" w:hAnsi="Arial" w:eastAsia="Arial" w:cs="Arial"/>
      <w:i/>
      <w:iCs/>
      <w:sz w:val="22"/>
      <w:szCs w:val="22"/>
    </w:rPr>
  </w:style>
  <w:style w:type="character" w:styleId="802">
    <w:name w:val="Heading 9 Char"/>
    <w:basedOn w:val="819"/>
    <w:link w:val="818"/>
    <w:uiPriority w:val="9"/>
    <w:rPr>
      <w:rFonts w:ascii="Arial" w:hAnsi="Arial" w:eastAsia="Arial" w:cs="Arial"/>
      <w:i/>
      <w:iCs/>
      <w:sz w:val="21"/>
      <w:szCs w:val="21"/>
    </w:rPr>
  </w:style>
  <w:style w:type="character" w:styleId="803">
    <w:name w:val="Title Char"/>
    <w:basedOn w:val="819"/>
    <w:link w:val="833"/>
    <w:uiPriority w:val="10"/>
    <w:rPr>
      <w:sz w:val="48"/>
      <w:szCs w:val="48"/>
    </w:rPr>
  </w:style>
  <w:style w:type="character" w:styleId="804">
    <w:name w:val="Subtitle Char"/>
    <w:basedOn w:val="819"/>
    <w:link w:val="835"/>
    <w:uiPriority w:val="11"/>
    <w:rPr>
      <w:sz w:val="24"/>
      <w:szCs w:val="24"/>
    </w:rPr>
  </w:style>
  <w:style w:type="character" w:styleId="805">
    <w:name w:val="Quote Char"/>
    <w:link w:val="837"/>
    <w:uiPriority w:val="29"/>
    <w:rPr>
      <w:i/>
    </w:rPr>
  </w:style>
  <w:style w:type="character" w:styleId="806">
    <w:name w:val="Intense Quote Char"/>
    <w:link w:val="839"/>
    <w:uiPriority w:val="30"/>
    <w:rPr>
      <w:i/>
    </w:rPr>
  </w:style>
  <w:style w:type="character" w:styleId="807">
    <w:name w:val="Footnote Text Char"/>
    <w:link w:val="972"/>
    <w:uiPriority w:val="99"/>
    <w:rPr>
      <w:sz w:val="18"/>
    </w:rPr>
  </w:style>
  <w:style w:type="character" w:styleId="808">
    <w:name w:val="Endnote Text Char"/>
    <w:link w:val="975"/>
    <w:uiPriority w:val="99"/>
    <w:rPr>
      <w:sz w:val="20"/>
    </w:rPr>
  </w:style>
  <w:style w:type="paragraph" w:styleId="809" w:default="1">
    <w:name w:val="Normal"/>
    <w:qFormat/>
  </w:style>
  <w:style w:type="paragraph" w:styleId="810">
    <w:name w:val="Heading 1"/>
    <w:basedOn w:val="809"/>
    <w:next w:val="809"/>
    <w:link w:val="8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11">
    <w:name w:val="Heading 2"/>
    <w:basedOn w:val="809"/>
    <w:next w:val="809"/>
    <w:link w:val="8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12">
    <w:name w:val="Heading 3"/>
    <w:basedOn w:val="809"/>
    <w:next w:val="809"/>
    <w:link w:val="8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13">
    <w:name w:val="Heading 4"/>
    <w:basedOn w:val="809"/>
    <w:next w:val="809"/>
    <w:link w:val="8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4">
    <w:name w:val="Heading 5"/>
    <w:basedOn w:val="809"/>
    <w:next w:val="809"/>
    <w:link w:val="8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5">
    <w:name w:val="Heading 6"/>
    <w:basedOn w:val="809"/>
    <w:next w:val="809"/>
    <w:link w:val="8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16">
    <w:name w:val="Heading 7"/>
    <w:basedOn w:val="809"/>
    <w:next w:val="809"/>
    <w:link w:val="8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7">
    <w:name w:val="Heading 8"/>
    <w:basedOn w:val="809"/>
    <w:next w:val="809"/>
    <w:link w:val="8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18">
    <w:name w:val="Heading 9"/>
    <w:basedOn w:val="809"/>
    <w:next w:val="809"/>
    <w:link w:val="8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 w:customStyle="1">
    <w:name w:val="Заголовок 1 Знак"/>
    <w:basedOn w:val="819"/>
    <w:link w:val="810"/>
    <w:uiPriority w:val="9"/>
    <w:rPr>
      <w:rFonts w:ascii="Arial" w:hAnsi="Arial" w:eastAsia="Arial" w:cs="Arial"/>
      <w:sz w:val="40"/>
      <w:szCs w:val="40"/>
    </w:rPr>
  </w:style>
  <w:style w:type="character" w:styleId="823" w:customStyle="1">
    <w:name w:val="Заголовок 2 Знак"/>
    <w:basedOn w:val="819"/>
    <w:link w:val="811"/>
    <w:uiPriority w:val="9"/>
    <w:rPr>
      <w:rFonts w:ascii="Arial" w:hAnsi="Arial" w:eastAsia="Arial" w:cs="Arial"/>
      <w:sz w:val="34"/>
    </w:rPr>
  </w:style>
  <w:style w:type="character" w:styleId="824" w:customStyle="1">
    <w:name w:val="Заголовок 3 Знак"/>
    <w:basedOn w:val="819"/>
    <w:link w:val="812"/>
    <w:uiPriority w:val="9"/>
    <w:rPr>
      <w:rFonts w:ascii="Arial" w:hAnsi="Arial" w:eastAsia="Arial" w:cs="Arial"/>
      <w:sz w:val="30"/>
      <w:szCs w:val="30"/>
    </w:rPr>
  </w:style>
  <w:style w:type="character" w:styleId="825" w:customStyle="1">
    <w:name w:val="Заголовок 4 Знак"/>
    <w:basedOn w:val="819"/>
    <w:link w:val="813"/>
    <w:uiPriority w:val="9"/>
    <w:rPr>
      <w:rFonts w:ascii="Arial" w:hAnsi="Arial" w:eastAsia="Arial" w:cs="Arial"/>
      <w:b/>
      <w:bCs/>
      <w:sz w:val="26"/>
      <w:szCs w:val="26"/>
    </w:rPr>
  </w:style>
  <w:style w:type="character" w:styleId="826" w:customStyle="1">
    <w:name w:val="Заголовок 5 Знак"/>
    <w:basedOn w:val="819"/>
    <w:link w:val="814"/>
    <w:uiPriority w:val="9"/>
    <w:rPr>
      <w:rFonts w:ascii="Arial" w:hAnsi="Arial" w:eastAsia="Arial" w:cs="Arial"/>
      <w:b/>
      <w:bCs/>
      <w:sz w:val="24"/>
      <w:szCs w:val="24"/>
    </w:rPr>
  </w:style>
  <w:style w:type="character" w:styleId="827" w:customStyle="1">
    <w:name w:val="Заголовок 6 Знак"/>
    <w:basedOn w:val="819"/>
    <w:link w:val="815"/>
    <w:uiPriority w:val="9"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Заголовок 7 Знак"/>
    <w:basedOn w:val="819"/>
    <w:link w:val="8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9" w:customStyle="1">
    <w:name w:val="Заголовок 8 Знак"/>
    <w:basedOn w:val="819"/>
    <w:link w:val="817"/>
    <w:uiPriority w:val="9"/>
    <w:rPr>
      <w:rFonts w:ascii="Arial" w:hAnsi="Arial" w:eastAsia="Arial" w:cs="Arial"/>
      <w:i/>
      <w:iCs/>
      <w:sz w:val="22"/>
      <w:szCs w:val="22"/>
    </w:rPr>
  </w:style>
  <w:style w:type="character" w:styleId="830" w:customStyle="1">
    <w:name w:val="Заголовок 9 Знак"/>
    <w:basedOn w:val="819"/>
    <w:link w:val="818"/>
    <w:uiPriority w:val="9"/>
    <w:rPr>
      <w:rFonts w:ascii="Arial" w:hAnsi="Arial" w:eastAsia="Arial" w:cs="Arial"/>
      <w:i/>
      <w:iCs/>
      <w:sz w:val="21"/>
      <w:szCs w:val="21"/>
    </w:rPr>
  </w:style>
  <w:style w:type="paragraph" w:styleId="831">
    <w:name w:val="List Paragraph"/>
    <w:basedOn w:val="809"/>
    <w:uiPriority w:val="34"/>
    <w:qFormat/>
    <w:pPr>
      <w:contextualSpacing/>
      <w:ind w:left="720"/>
    </w:pPr>
  </w:style>
  <w:style w:type="paragraph" w:styleId="832">
    <w:name w:val="No Spacing"/>
    <w:uiPriority w:val="1"/>
    <w:qFormat/>
    <w:pPr>
      <w:spacing w:after="0" w:line="240" w:lineRule="auto"/>
    </w:pPr>
  </w:style>
  <w:style w:type="paragraph" w:styleId="833">
    <w:name w:val="Title"/>
    <w:basedOn w:val="809"/>
    <w:next w:val="809"/>
    <w:link w:val="8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4" w:customStyle="1">
    <w:name w:val="Заголовок Знак"/>
    <w:basedOn w:val="819"/>
    <w:link w:val="833"/>
    <w:uiPriority w:val="10"/>
    <w:rPr>
      <w:sz w:val="48"/>
      <w:szCs w:val="48"/>
    </w:rPr>
  </w:style>
  <w:style w:type="paragraph" w:styleId="835">
    <w:name w:val="Subtitle"/>
    <w:basedOn w:val="809"/>
    <w:next w:val="809"/>
    <w:link w:val="836"/>
    <w:uiPriority w:val="11"/>
    <w:qFormat/>
    <w:pPr>
      <w:spacing w:before="200" w:after="200"/>
    </w:pPr>
    <w:rPr>
      <w:sz w:val="24"/>
      <w:szCs w:val="24"/>
    </w:rPr>
  </w:style>
  <w:style w:type="character" w:styleId="836" w:customStyle="1">
    <w:name w:val="Подзаголовок Знак"/>
    <w:basedOn w:val="819"/>
    <w:link w:val="835"/>
    <w:uiPriority w:val="11"/>
    <w:rPr>
      <w:sz w:val="24"/>
      <w:szCs w:val="24"/>
    </w:rPr>
  </w:style>
  <w:style w:type="paragraph" w:styleId="837">
    <w:name w:val="Quote"/>
    <w:basedOn w:val="809"/>
    <w:next w:val="809"/>
    <w:link w:val="838"/>
    <w:uiPriority w:val="29"/>
    <w:qFormat/>
    <w:pPr>
      <w:ind w:left="720" w:right="720"/>
    </w:pPr>
    <w:rPr>
      <w:i/>
    </w:rPr>
  </w:style>
  <w:style w:type="character" w:styleId="838" w:customStyle="1">
    <w:name w:val="Цитата 2 Знак"/>
    <w:link w:val="837"/>
    <w:uiPriority w:val="29"/>
    <w:rPr>
      <w:i/>
    </w:rPr>
  </w:style>
  <w:style w:type="paragraph" w:styleId="839">
    <w:name w:val="Intense Quote"/>
    <w:basedOn w:val="809"/>
    <w:next w:val="809"/>
    <w:link w:val="8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0" w:customStyle="1">
    <w:name w:val="Выделенная цитата Знак"/>
    <w:link w:val="839"/>
    <w:uiPriority w:val="30"/>
    <w:rPr>
      <w:i/>
    </w:rPr>
  </w:style>
  <w:style w:type="character" w:styleId="841" w:customStyle="1">
    <w:name w:val="Header Char"/>
    <w:basedOn w:val="819"/>
    <w:uiPriority w:val="99"/>
  </w:style>
  <w:style w:type="character" w:styleId="842" w:customStyle="1">
    <w:name w:val="Footer Char"/>
    <w:basedOn w:val="819"/>
    <w:uiPriority w:val="99"/>
  </w:style>
  <w:style w:type="paragraph" w:styleId="84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44" w:customStyle="1">
    <w:name w:val="Caption Char"/>
    <w:uiPriority w:val="99"/>
  </w:style>
  <w:style w:type="table" w:styleId="845">
    <w:name w:val="Table Grid"/>
    <w:basedOn w:val="82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6" w:customStyle="1">
    <w:name w:val="Table Grid Light"/>
    <w:basedOn w:val="82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47">
    <w:name w:val="Plain Table 1"/>
    <w:basedOn w:val="82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2"/>
    <w:basedOn w:val="82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4" w:customStyle="1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75" w:customStyle="1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76" w:customStyle="1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77" w:customStyle="1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78" w:customStyle="1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79" w:customStyle="1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8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81" w:customStyle="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82" w:customStyle="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83" w:customStyle="1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84" w:customStyle="1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85" w:customStyle="1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86" w:customStyle="1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8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8" w:customStyle="1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89" w:customStyle="1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90" w:customStyle="1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91" w:customStyle="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92" w:customStyle="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3" w:customStyle="1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09" w:customStyle="1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10" w:customStyle="1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11" w:customStyle="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12" w:customStyle="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13" w:customStyle="1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14" w:customStyle="1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1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 w:customStyle="1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37" w:customStyle="1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38" w:customStyle="1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39" w:customStyle="1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40" w:customStyle="1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41" w:customStyle="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42" w:customStyle="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4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ned - Accent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1" w:customStyle="1">
    <w:name w:val="Lined - Accent 1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52" w:customStyle="1">
    <w:name w:val="Lined - Accent 2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53" w:customStyle="1">
    <w:name w:val="Lined - Accent 3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4" w:customStyle="1">
    <w:name w:val="Lined - Accent 4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5" w:customStyle="1">
    <w:name w:val="Lined - Accent 5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6" w:customStyle="1">
    <w:name w:val="Lined - Accent 6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7" w:customStyle="1">
    <w:name w:val="Bordered &amp; Lined - Accent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8" w:customStyle="1">
    <w:name w:val="Bordered &amp; Lined - Accent 1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59" w:customStyle="1">
    <w:name w:val="Bordered &amp; Lined - Accent 2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60" w:customStyle="1">
    <w:name w:val="Bordered &amp; Lined - Accent 3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61" w:customStyle="1">
    <w:name w:val="Bordered &amp; Lined - Accent 4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62" w:customStyle="1">
    <w:name w:val="Bordered &amp; Lined - Accent 5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63" w:customStyle="1">
    <w:name w:val="Bordered &amp; Lined - Accent 6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64" w:customStyle="1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65" w:customStyle="1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66" w:customStyle="1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67" w:customStyle="1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68" w:customStyle="1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69" w:customStyle="1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70" w:customStyle="1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71">
    <w:name w:val="Hyperlink"/>
    <w:uiPriority w:val="99"/>
    <w:unhideWhenUsed/>
    <w:rPr>
      <w:color w:val="0563c1" w:themeColor="hyperlink"/>
      <w:u w:val="single"/>
    </w:rPr>
  </w:style>
  <w:style w:type="paragraph" w:styleId="972">
    <w:name w:val="footnote text"/>
    <w:basedOn w:val="809"/>
    <w:link w:val="973"/>
    <w:uiPriority w:val="99"/>
    <w:semiHidden/>
    <w:unhideWhenUsed/>
    <w:pPr>
      <w:spacing w:after="40" w:line="240" w:lineRule="auto"/>
    </w:pPr>
    <w:rPr>
      <w:sz w:val="18"/>
    </w:rPr>
  </w:style>
  <w:style w:type="character" w:styleId="973" w:customStyle="1">
    <w:name w:val="Текст сноски Знак"/>
    <w:link w:val="972"/>
    <w:uiPriority w:val="99"/>
    <w:rPr>
      <w:sz w:val="18"/>
    </w:rPr>
  </w:style>
  <w:style w:type="character" w:styleId="974">
    <w:name w:val="footnote reference"/>
    <w:basedOn w:val="819"/>
    <w:uiPriority w:val="99"/>
    <w:unhideWhenUsed/>
    <w:rPr>
      <w:vertAlign w:val="superscript"/>
    </w:rPr>
  </w:style>
  <w:style w:type="paragraph" w:styleId="975">
    <w:name w:val="endnote text"/>
    <w:basedOn w:val="809"/>
    <w:link w:val="976"/>
    <w:uiPriority w:val="99"/>
    <w:semiHidden/>
    <w:unhideWhenUsed/>
    <w:pPr>
      <w:spacing w:after="0" w:line="240" w:lineRule="auto"/>
    </w:pPr>
    <w:rPr>
      <w:sz w:val="20"/>
    </w:rPr>
  </w:style>
  <w:style w:type="character" w:styleId="976" w:customStyle="1">
    <w:name w:val="Текст концевой сноски Знак"/>
    <w:link w:val="975"/>
    <w:uiPriority w:val="99"/>
    <w:rPr>
      <w:sz w:val="20"/>
    </w:rPr>
  </w:style>
  <w:style w:type="character" w:styleId="977">
    <w:name w:val="endnote reference"/>
    <w:basedOn w:val="819"/>
    <w:uiPriority w:val="99"/>
    <w:semiHidden/>
    <w:unhideWhenUsed/>
    <w:rPr>
      <w:vertAlign w:val="superscript"/>
    </w:rPr>
  </w:style>
  <w:style w:type="paragraph" w:styleId="978">
    <w:name w:val="toc 1"/>
    <w:basedOn w:val="809"/>
    <w:next w:val="809"/>
    <w:uiPriority w:val="39"/>
    <w:unhideWhenUsed/>
    <w:pPr>
      <w:spacing w:after="57"/>
    </w:pPr>
  </w:style>
  <w:style w:type="paragraph" w:styleId="979">
    <w:name w:val="toc 2"/>
    <w:basedOn w:val="809"/>
    <w:next w:val="809"/>
    <w:uiPriority w:val="39"/>
    <w:unhideWhenUsed/>
    <w:pPr>
      <w:ind w:left="283"/>
      <w:spacing w:after="57"/>
    </w:pPr>
  </w:style>
  <w:style w:type="paragraph" w:styleId="980">
    <w:name w:val="toc 3"/>
    <w:basedOn w:val="809"/>
    <w:next w:val="809"/>
    <w:uiPriority w:val="39"/>
    <w:unhideWhenUsed/>
    <w:pPr>
      <w:ind w:left="567"/>
      <w:spacing w:after="57"/>
    </w:pPr>
  </w:style>
  <w:style w:type="paragraph" w:styleId="981">
    <w:name w:val="toc 4"/>
    <w:basedOn w:val="809"/>
    <w:next w:val="809"/>
    <w:uiPriority w:val="39"/>
    <w:unhideWhenUsed/>
    <w:pPr>
      <w:ind w:left="850"/>
      <w:spacing w:after="57"/>
    </w:pPr>
  </w:style>
  <w:style w:type="paragraph" w:styleId="982">
    <w:name w:val="toc 5"/>
    <w:basedOn w:val="809"/>
    <w:next w:val="809"/>
    <w:uiPriority w:val="39"/>
    <w:unhideWhenUsed/>
    <w:pPr>
      <w:ind w:left="1134"/>
      <w:spacing w:after="57"/>
    </w:pPr>
  </w:style>
  <w:style w:type="paragraph" w:styleId="983">
    <w:name w:val="toc 6"/>
    <w:basedOn w:val="809"/>
    <w:next w:val="809"/>
    <w:uiPriority w:val="39"/>
    <w:unhideWhenUsed/>
    <w:pPr>
      <w:ind w:left="1417"/>
      <w:spacing w:after="57"/>
    </w:pPr>
  </w:style>
  <w:style w:type="paragraph" w:styleId="984">
    <w:name w:val="toc 7"/>
    <w:basedOn w:val="809"/>
    <w:next w:val="809"/>
    <w:uiPriority w:val="39"/>
    <w:unhideWhenUsed/>
    <w:pPr>
      <w:ind w:left="1701"/>
      <w:spacing w:after="57"/>
    </w:pPr>
  </w:style>
  <w:style w:type="paragraph" w:styleId="985">
    <w:name w:val="toc 8"/>
    <w:basedOn w:val="809"/>
    <w:next w:val="809"/>
    <w:uiPriority w:val="39"/>
    <w:unhideWhenUsed/>
    <w:pPr>
      <w:ind w:left="1984"/>
      <w:spacing w:after="57"/>
    </w:pPr>
  </w:style>
  <w:style w:type="paragraph" w:styleId="986">
    <w:name w:val="toc 9"/>
    <w:basedOn w:val="809"/>
    <w:next w:val="809"/>
    <w:uiPriority w:val="39"/>
    <w:unhideWhenUsed/>
    <w:pPr>
      <w:ind w:left="2268"/>
      <w:spacing w:after="57"/>
    </w:pPr>
  </w:style>
  <w:style w:type="paragraph" w:styleId="987">
    <w:name w:val="TOC Heading"/>
    <w:uiPriority w:val="39"/>
    <w:unhideWhenUsed/>
  </w:style>
  <w:style w:type="paragraph" w:styleId="988">
    <w:name w:val="table of figures"/>
    <w:basedOn w:val="809"/>
    <w:next w:val="809"/>
    <w:uiPriority w:val="99"/>
    <w:unhideWhenUsed/>
    <w:pPr>
      <w:spacing w:after="0"/>
    </w:pPr>
  </w:style>
  <w:style w:type="paragraph" w:styleId="989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90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91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992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93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94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995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996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97">
    <w:name w:val="Header"/>
    <w:basedOn w:val="809"/>
    <w:link w:val="9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8" w:customStyle="1">
    <w:name w:val="Верхний колонтитул Знак"/>
    <w:basedOn w:val="819"/>
    <w:link w:val="997"/>
    <w:uiPriority w:val="99"/>
  </w:style>
  <w:style w:type="paragraph" w:styleId="999">
    <w:name w:val="Footer"/>
    <w:basedOn w:val="809"/>
    <w:link w:val="100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0" w:customStyle="1">
    <w:name w:val="Нижний колонтитул Знак"/>
    <w:basedOn w:val="819"/>
    <w:link w:val="999"/>
    <w:uiPriority w:val="99"/>
  </w:style>
  <w:style w:type="paragraph" w:styleId="1001">
    <w:name w:val="Balloon Text"/>
    <w:basedOn w:val="809"/>
    <w:link w:val="100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002" w:customStyle="1">
    <w:name w:val="Текст выноски Знак"/>
    <w:basedOn w:val="819"/>
    <w:link w:val="1001"/>
    <w:uiPriority w:val="99"/>
    <w:semiHidden/>
    <w:rPr>
      <w:rFonts w:ascii="Segoe UI" w:hAnsi="Segoe UI" w:cs="Segoe UI"/>
      <w:sz w:val="18"/>
      <w:szCs w:val="18"/>
    </w:rPr>
  </w:style>
  <w:style w:type="paragraph" w:styleId="1003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1004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yperlink" Target="consultantplus://offline/ref=91CA5A7535027104E8BE03F7652727A464450BA290981BAA940F2D923FC8461A5092663DECEBC0372E1B041A02099AB5DAC328D156AA3F5E53710E94h9E5I" TargetMode="External"/><Relationship Id="rId17" Type="http://schemas.openxmlformats.org/officeDocument/2006/relationships/hyperlink" Target="consultantplus://offline/ref=91CA5A7535027104E8BE1DFA734B79AE674D53AC939610F8CF5D2BC56098404F02D23864AEAFD3362A05061807h0E1I" TargetMode="External"/><Relationship Id="rId18" Type="http://schemas.openxmlformats.org/officeDocument/2006/relationships/hyperlink" Target="consultantplus://offline/ref=91CA5A7535027104E8BE1DFA734B79AE674D50A7999710F8CF5D2BC56098404F10D26068AFAFCD3E261050494157C3E59E8825D448B63F58h4EE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Оксана Васильевна</dc:creator>
  <cp:keywords/>
  <dc:description/>
  <cp:revision>102</cp:revision>
  <dcterms:created xsi:type="dcterms:W3CDTF">2023-04-10T08:04:00Z</dcterms:created>
  <dcterms:modified xsi:type="dcterms:W3CDTF">2023-12-26T08:27:09Z</dcterms:modified>
</cp:coreProperties>
</file>